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7846" w14:textId="073B9992" w:rsidR="00791E08" w:rsidRPr="00791E08" w:rsidRDefault="00791E08" w:rsidP="00791E08">
      <w:pPr>
        <w:pStyle w:val="Header"/>
        <w:tabs>
          <w:tab w:val="right" w:pos="9641"/>
        </w:tabs>
        <w:rPr>
          <w:bCs/>
          <w:sz w:val="24"/>
          <w:szCs w:val="24"/>
          <w:lang w:val="en-US"/>
        </w:rPr>
      </w:pPr>
      <w:r w:rsidRPr="00791E08">
        <w:rPr>
          <w:bCs/>
          <w:sz w:val="24"/>
          <w:szCs w:val="24"/>
        </w:rPr>
        <w:t>3GPP TSG-RAN WG2 Meeting #1</w:t>
      </w:r>
      <w:r w:rsidR="00A14075">
        <w:rPr>
          <w:bCs/>
          <w:sz w:val="24"/>
          <w:szCs w:val="24"/>
        </w:rPr>
        <w:t>3</w:t>
      </w:r>
      <w:r w:rsidR="009A7481">
        <w:rPr>
          <w:bCs/>
          <w:sz w:val="24"/>
          <w:szCs w:val="24"/>
        </w:rPr>
        <w:t>2</w:t>
      </w:r>
      <w:r w:rsidRPr="00791E08">
        <w:rPr>
          <w:bCs/>
          <w:sz w:val="24"/>
          <w:szCs w:val="24"/>
          <w:lang w:val="en-US"/>
        </w:rPr>
        <w:tab/>
      </w:r>
      <w:r w:rsidR="002F62D1" w:rsidRPr="002F62D1">
        <w:rPr>
          <w:bCs/>
          <w:sz w:val="24"/>
          <w:szCs w:val="24"/>
        </w:rPr>
        <w:t>R2-2508314</w:t>
      </w:r>
    </w:p>
    <w:p w14:paraId="3723E1D3" w14:textId="7ED41342" w:rsidR="005432D9" w:rsidRPr="005A5862" w:rsidRDefault="00FE50B7" w:rsidP="00541A65">
      <w:pPr>
        <w:pStyle w:val="Header"/>
        <w:tabs>
          <w:tab w:val="right" w:pos="9641"/>
        </w:tabs>
        <w:rPr>
          <w:bCs/>
          <w:sz w:val="24"/>
          <w:szCs w:val="24"/>
          <w:lang w:eastAsia="zh-CN"/>
        </w:rPr>
      </w:pPr>
      <w:r w:rsidRPr="00FE50B7">
        <w:rPr>
          <w:bCs/>
          <w:sz w:val="24"/>
          <w:szCs w:val="24"/>
        </w:rPr>
        <w:t>Dallas, USA, 17 – 21 November 2025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1BDF296" w:rsidR="008B549E" w:rsidRPr="00792BEF" w:rsidRDefault="008B549E" w:rsidP="008B549E">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92BEF">
        <w:rPr>
          <w:rFonts w:eastAsia="宋体" w:cs="Arial" w:hint="eastAsia"/>
          <w:b/>
          <w:bCs/>
          <w:sz w:val="24"/>
          <w:lang w:eastAsia="zh-CN"/>
        </w:rPr>
        <w:t>8</w:t>
      </w:r>
      <w:r>
        <w:rPr>
          <w:rFonts w:cs="Arial"/>
          <w:b/>
          <w:bCs/>
          <w:sz w:val="24"/>
          <w:lang w:eastAsia="ja-JP"/>
        </w:rPr>
        <w:t>.</w:t>
      </w:r>
      <w:r w:rsidR="00792BEF">
        <w:rPr>
          <w:rFonts w:eastAsia="宋体" w:cs="Arial" w:hint="eastAsia"/>
          <w:b/>
          <w:bCs/>
          <w:sz w:val="24"/>
          <w:lang w:eastAsia="zh-CN"/>
        </w:rPr>
        <w:t>17</w:t>
      </w:r>
    </w:p>
    <w:p w14:paraId="0EC781B3" w14:textId="4B958F37" w:rsidR="008B549E" w:rsidRPr="005943E5" w:rsidRDefault="008B549E" w:rsidP="008B549E">
      <w:pPr>
        <w:tabs>
          <w:tab w:val="left" w:pos="1985"/>
        </w:tabs>
        <w:ind w:left="1985" w:hanging="1985"/>
        <w:rPr>
          <w:rFonts w:ascii="Arial" w:hAnsi="Arial" w:cs="Arial"/>
          <w:b/>
          <w:bCs/>
          <w:sz w:val="24"/>
          <w:lang w:val="en-US"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792BEF">
        <w:rPr>
          <w:rFonts w:ascii="Arial" w:hAnsi="Arial" w:cs="Arial" w:hint="eastAsia"/>
          <w:b/>
          <w:bCs/>
          <w:sz w:val="24"/>
          <w:lang w:eastAsia="zh-CN"/>
        </w:rPr>
        <w:t>, Nokia Shanghai Bell</w:t>
      </w:r>
    </w:p>
    <w:p w14:paraId="16C775DD" w14:textId="77D9565A" w:rsidR="008B549E" w:rsidRDefault="0BA9EB95" w:rsidP="0731727E">
      <w:pPr>
        <w:ind w:left="1985" w:hanging="1985"/>
        <w:rPr>
          <w:rFonts w:ascii="Arial" w:hAnsi="Arial" w:cs="Arial"/>
          <w:b/>
          <w:bCs/>
          <w:sz w:val="24"/>
          <w:szCs w:val="24"/>
          <w:lang w:eastAsia="zh-CN"/>
        </w:rPr>
      </w:pPr>
      <w:r w:rsidRPr="0731727E">
        <w:rPr>
          <w:rFonts w:ascii="Arial" w:hAnsi="Arial" w:cs="Arial"/>
          <w:b/>
          <w:bCs/>
          <w:sz w:val="24"/>
          <w:szCs w:val="24"/>
        </w:rPr>
        <w:t>Title:</w:t>
      </w:r>
      <w:r w:rsidR="008B549E">
        <w:tab/>
      </w:r>
      <w:r w:rsidR="00E9026B">
        <w:rPr>
          <w:rFonts w:ascii="Arial" w:hAnsi="Arial" w:cs="Arial"/>
          <w:b/>
          <w:bCs/>
          <w:sz w:val="24"/>
          <w:szCs w:val="24"/>
          <w:lang w:eastAsia="zh-CN"/>
        </w:rPr>
        <w:t xml:space="preserve">Remaining issues </w:t>
      </w:r>
      <w:r w:rsidR="5FD5171B" w:rsidRPr="0731727E">
        <w:rPr>
          <w:rFonts w:ascii="Arial" w:hAnsi="Arial" w:cs="Arial"/>
          <w:b/>
          <w:bCs/>
          <w:sz w:val="24"/>
          <w:szCs w:val="24"/>
          <w:lang w:eastAsia="zh-CN"/>
        </w:rPr>
        <w:t xml:space="preserve">on support of TDD mode for </w:t>
      </w:r>
      <w:r w:rsidR="00D13831">
        <w:rPr>
          <w:rFonts w:ascii="Arial" w:hAnsi="Arial" w:cs="Arial" w:hint="eastAsia"/>
          <w:b/>
          <w:bCs/>
          <w:sz w:val="24"/>
          <w:szCs w:val="24"/>
          <w:lang w:eastAsia="zh-CN"/>
        </w:rPr>
        <w:t>NB-</w:t>
      </w:r>
      <w:r w:rsidR="5FD5171B" w:rsidRPr="0731727E">
        <w:rPr>
          <w:rFonts w:ascii="Arial" w:hAnsi="Arial" w:cs="Arial"/>
          <w:b/>
          <w:bCs/>
          <w:sz w:val="24"/>
          <w:szCs w:val="24"/>
          <w:lang w:eastAsia="zh-CN"/>
        </w:rPr>
        <w:t>IoT-NTN</w:t>
      </w:r>
    </w:p>
    <w:p w14:paraId="7D015DD9" w14:textId="310F2287" w:rsidR="008B549E" w:rsidRPr="00B266B0" w:rsidRDefault="008B549E" w:rsidP="008B549E">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proofErr w:type="spellStart"/>
      <w:r w:rsidR="00792BEF" w:rsidRPr="00792BEF">
        <w:rPr>
          <w:rFonts w:ascii="Arial" w:hAnsi="Arial" w:cs="Arial"/>
          <w:b/>
          <w:bCs/>
          <w:sz w:val="24"/>
        </w:rPr>
        <w:t>IoT_NTN_TDD</w:t>
      </w:r>
      <w:proofErr w:type="spellEnd"/>
      <w:r w:rsidRPr="00112F1A">
        <w:rPr>
          <w:rFonts w:ascii="Arial" w:hAnsi="Arial" w:cs="Arial"/>
          <w:b/>
          <w:bCs/>
          <w:sz w:val="24"/>
        </w:rPr>
        <w:t xml:space="preserve"> </w:t>
      </w:r>
      <w:r>
        <w:rPr>
          <w:rFonts w:ascii="Arial" w:hAnsi="Arial" w:cs="Arial"/>
          <w:b/>
          <w:bCs/>
          <w:sz w:val="24"/>
        </w:rPr>
        <w:t xml:space="preserve">- Release </w:t>
      </w:r>
      <w:r w:rsidR="00792BEF">
        <w:rPr>
          <w:rFonts w:ascii="Arial" w:hAnsi="Arial" w:cs="Arial" w:hint="eastAsia"/>
          <w:b/>
          <w:bCs/>
          <w:sz w:val="24"/>
          <w:lang w:eastAsia="zh-CN"/>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76FD59C" w14:textId="329F29C4" w:rsidR="007A6C62" w:rsidRDefault="007A6C62" w:rsidP="008B549E">
      <w:r>
        <w:t xml:space="preserve">At RAN #106 the work item on </w:t>
      </w:r>
      <w:r w:rsidR="00E4142A">
        <w:t>NB-IoT TDD NTN mode</w:t>
      </w:r>
      <w:r w:rsidR="00E905A8">
        <w:t xml:space="preserve"> </w:t>
      </w:r>
      <w:r w:rsidR="00C536FD">
        <w:t>[</w:t>
      </w:r>
      <w:r w:rsidR="00C536FD">
        <w:fldChar w:fldCharType="begin"/>
      </w:r>
      <w:r w:rsidR="00C536FD">
        <w:instrText xml:space="preserve"> REF _Ref189662008 \r </w:instrText>
      </w:r>
      <w:r w:rsidR="00C536FD">
        <w:fldChar w:fldCharType="separate"/>
      </w:r>
      <w:r w:rsidR="00C536FD">
        <w:t>1</w:t>
      </w:r>
      <w:r w:rsidR="00C536FD">
        <w:fldChar w:fldCharType="end"/>
      </w:r>
      <w:r w:rsidR="00C536FD">
        <w:t>]</w:t>
      </w:r>
      <w:r w:rsidR="00E4142A">
        <w:t xml:space="preserve"> was agreed with the following </w:t>
      </w:r>
      <w:r w:rsidR="00524BCD">
        <w:t>objective</w:t>
      </w:r>
      <w:r w:rsidR="00D17214">
        <w:t>:</w:t>
      </w:r>
    </w:p>
    <w:tbl>
      <w:tblPr>
        <w:tblStyle w:val="TableGrid"/>
        <w:tblW w:w="0" w:type="auto"/>
        <w:tblLook w:val="04A0" w:firstRow="1" w:lastRow="0" w:firstColumn="1" w:lastColumn="0" w:noHBand="0" w:noVBand="1"/>
      </w:tblPr>
      <w:tblGrid>
        <w:gridCol w:w="9631"/>
      </w:tblGrid>
      <w:tr w:rsidR="006F3EC4" w14:paraId="2C071F9E" w14:textId="77777777" w:rsidTr="006F3EC4">
        <w:tc>
          <w:tcPr>
            <w:tcW w:w="9631" w:type="dxa"/>
          </w:tcPr>
          <w:p w14:paraId="63CC937E" w14:textId="77777777" w:rsidR="006F3EC4" w:rsidRPr="009872B9" w:rsidRDefault="006F3EC4" w:rsidP="006F3EC4">
            <w:pPr>
              <w:numPr>
                <w:ilvl w:val="0"/>
                <w:numId w:val="18"/>
              </w:numPr>
            </w:pPr>
            <w:r w:rsidRPr="009872B9">
              <w:t xml:space="preserve">Specify a new NB-IoT TDD NTN mode based on minimum necessary changes to the NB-IoT NTN FDD frame structure and </w:t>
            </w:r>
            <w:proofErr w:type="gramStart"/>
            <w:r w:rsidRPr="009872B9">
              <w:t>procedures,  including</w:t>
            </w:r>
            <w:proofErr w:type="gramEnd"/>
            <w:r w:rsidRPr="009872B9">
              <w:t>:</w:t>
            </w:r>
          </w:p>
          <w:p w14:paraId="3A432A68" w14:textId="77777777" w:rsidR="006F3EC4" w:rsidRPr="009872B9" w:rsidRDefault="006F3EC4" w:rsidP="006F3EC4">
            <w:pPr>
              <w:numPr>
                <w:ilvl w:val="1"/>
                <w:numId w:val="19"/>
              </w:numPr>
            </w:pPr>
            <w:r w:rsidRPr="009872B9">
              <w:t xml:space="preserve">Definition, configuration (if needed) and </w:t>
            </w:r>
            <w:proofErr w:type="spellStart"/>
            <w:r w:rsidRPr="009872B9">
              <w:t>signaling</w:t>
            </w:r>
            <w:proofErr w:type="spellEnd"/>
            <w:r w:rsidRPr="009872B9">
              <w:t xml:space="preserve"> (if needed) of the periodic pattern, necessary adaptation (if needed) and associated UE procedures [RAN1, RAN2]</w:t>
            </w:r>
          </w:p>
          <w:p w14:paraId="3DBEA542" w14:textId="77777777" w:rsidR="006F3EC4" w:rsidRPr="009872B9" w:rsidRDefault="006F3EC4" w:rsidP="006F3EC4">
            <w:pPr>
              <w:numPr>
                <w:ilvl w:val="3"/>
                <w:numId w:val="19"/>
              </w:numPr>
            </w:pPr>
            <w:r w:rsidRPr="009872B9">
              <w:t>Support a pattern with a period of 9 radio frames for the target MSS allocated band, where D=U=8 with a fixed guard period.RAN1 to consider whether there is a need for a mechanism to achieve an adjustable guard period for the purpose of allowing deployment with the TDD frame structure of the legacy system operating in the target MSS allocated band.</w:t>
            </w:r>
          </w:p>
          <w:p w14:paraId="55D6A7C5" w14:textId="77777777" w:rsidR="006F3EC4" w:rsidRPr="009872B9" w:rsidRDefault="006F3EC4" w:rsidP="006F3EC4">
            <w:pPr>
              <w:numPr>
                <w:ilvl w:val="1"/>
                <w:numId w:val="19"/>
              </w:numPr>
            </w:pPr>
            <w:r w:rsidRPr="009872B9">
              <w:t>Other necessary impacts on higher layers [RAN2]</w:t>
            </w:r>
          </w:p>
          <w:p w14:paraId="7F5647A2" w14:textId="2218FB11" w:rsidR="006F3EC4" w:rsidRPr="009872B9" w:rsidRDefault="006F3EC4" w:rsidP="008B549E">
            <w:pPr>
              <w:numPr>
                <w:ilvl w:val="1"/>
                <w:numId w:val="19"/>
              </w:numPr>
            </w:pPr>
            <w:r w:rsidRPr="009872B9">
              <w:t>RRM and RF core requirements [RAN4]</w:t>
            </w:r>
          </w:p>
        </w:tc>
      </w:tr>
    </w:tbl>
    <w:p w14:paraId="41CB7FB9" w14:textId="77777777" w:rsidR="00E227A2" w:rsidRPr="00E227A2" w:rsidRDefault="00E227A2" w:rsidP="008B549E">
      <w:pPr>
        <w:rPr>
          <w:sz w:val="2"/>
          <w:szCs w:val="2"/>
        </w:rPr>
      </w:pPr>
    </w:p>
    <w:p w14:paraId="0D91D783" w14:textId="5B1649DC" w:rsidR="008B549E" w:rsidRDefault="00C536FD" w:rsidP="008B549E">
      <w:r>
        <w:t xml:space="preserve">In this contribution we discuss </w:t>
      </w:r>
      <w:r w:rsidR="00E05C0E">
        <w:t>remaining</w:t>
      </w:r>
      <w:r w:rsidR="004049E0">
        <w:t xml:space="preserve"> issues</w:t>
      </w:r>
      <w:r w:rsidR="00E05C0E">
        <w:t xml:space="preserve"> </w:t>
      </w:r>
      <w:r w:rsidR="00737FBF">
        <w:t xml:space="preserve">as well as RIL N022 </w:t>
      </w:r>
      <w:r w:rsidR="00E05C0E">
        <w:t>to support</w:t>
      </w:r>
      <w:r>
        <w:t xml:space="preserve"> TDD NTN mode, which </w:t>
      </w:r>
      <w:r w:rsidR="007C2F0E">
        <w:t xml:space="preserve">may </w:t>
      </w:r>
      <w:r>
        <w:t>impact RAN2</w:t>
      </w:r>
      <w:r w:rsidR="00233F5B">
        <w:t xml:space="preserve"> specification</w:t>
      </w:r>
      <w:r>
        <w:t>.</w:t>
      </w:r>
    </w:p>
    <w:p w14:paraId="2F0575B0" w14:textId="7E794868" w:rsidR="008B549E" w:rsidRPr="006E13D1" w:rsidRDefault="008B549E" w:rsidP="008B549E">
      <w:pPr>
        <w:pStyle w:val="Heading1"/>
      </w:pPr>
      <w:r w:rsidRPr="006E13D1">
        <w:t>2</w:t>
      </w:r>
      <w:r w:rsidRPr="006E13D1">
        <w:tab/>
      </w:r>
      <w:r w:rsidR="005C625D">
        <w:t>Discussion</w:t>
      </w:r>
    </w:p>
    <w:p w14:paraId="2135C015" w14:textId="5A37988C" w:rsidR="00C439C4" w:rsidRDefault="00CA2161" w:rsidP="00C439C4">
      <w:pPr>
        <w:pStyle w:val="Heading2"/>
        <w:rPr>
          <w:lang w:eastAsia="zh-CN"/>
        </w:rPr>
      </w:pPr>
      <w:r>
        <w:rPr>
          <w:rFonts w:hint="eastAsia"/>
        </w:rPr>
        <w:t>2.</w:t>
      </w:r>
      <w:r w:rsidR="00881922">
        <w:t>1</w:t>
      </w:r>
      <w:r>
        <w:tab/>
      </w:r>
      <w:r w:rsidR="0009310E">
        <w:rPr>
          <w:lang w:eastAsia="zh-CN"/>
        </w:rPr>
        <w:t>SPS collision</w:t>
      </w:r>
    </w:p>
    <w:p w14:paraId="5158D090" w14:textId="0B5A3B70" w:rsidR="00C439C4" w:rsidRDefault="00C439C4" w:rsidP="00C439C4">
      <w:pPr>
        <w:rPr>
          <w:bCs/>
          <w:lang w:eastAsia="zh-CN"/>
        </w:rPr>
      </w:pPr>
      <w:r w:rsidRPr="00645944">
        <w:rPr>
          <w:bCs/>
          <w:lang w:eastAsia="zh-CN"/>
        </w:rPr>
        <w:t>At R</w:t>
      </w:r>
      <w:r>
        <w:rPr>
          <w:bCs/>
          <w:lang w:eastAsia="zh-CN"/>
        </w:rPr>
        <w:t>AN2 #129bis it was agreed that when a SPS resource is in a non-U NB-IoT subframe, the UE postpones the SPS resource to the next valid UL subframe. Furthermore, at RAN1 #120 it was agreed that NPUSCH is mapped per current specifications, i.e. postponed to valid NB-IoT UL subframes.</w:t>
      </w:r>
    </w:p>
    <w:tbl>
      <w:tblPr>
        <w:tblStyle w:val="TableGrid"/>
        <w:tblW w:w="0" w:type="auto"/>
        <w:tblLook w:val="04A0" w:firstRow="1" w:lastRow="0" w:firstColumn="1" w:lastColumn="0" w:noHBand="0" w:noVBand="1"/>
      </w:tblPr>
      <w:tblGrid>
        <w:gridCol w:w="9631"/>
      </w:tblGrid>
      <w:tr w:rsidR="00C439C4" w14:paraId="75098A3E" w14:textId="77777777" w:rsidTr="003A6A44">
        <w:tc>
          <w:tcPr>
            <w:tcW w:w="9631" w:type="dxa"/>
          </w:tcPr>
          <w:p w14:paraId="5746080A" w14:textId="77777777" w:rsidR="00C439C4" w:rsidRPr="00186AA1" w:rsidRDefault="00C439C4" w:rsidP="003A6A44">
            <w:pPr>
              <w:rPr>
                <w:bCs/>
              </w:rPr>
            </w:pPr>
            <w:r>
              <w:rPr>
                <w:bCs/>
                <w:highlight w:val="green"/>
              </w:rPr>
              <w:t>RAN1 #120 a</w:t>
            </w:r>
            <w:r w:rsidRPr="00186AA1">
              <w:rPr>
                <w:bCs/>
                <w:highlight w:val="green"/>
              </w:rPr>
              <w:t>greement</w:t>
            </w:r>
          </w:p>
          <w:p w14:paraId="34AF5EC5" w14:textId="77777777" w:rsidR="00C439C4" w:rsidRPr="00186AA1" w:rsidRDefault="00C439C4" w:rsidP="003A6A44">
            <w:pPr>
              <w:rPr>
                <w:bCs/>
              </w:rPr>
            </w:pPr>
            <w:r w:rsidRPr="00186AA1">
              <w:rPr>
                <w:bCs/>
              </w:rPr>
              <w:t>The non-U NB-IoT subframes are not considered by the UE as “NB-IoT UL subframes” from the specifications</w:t>
            </w:r>
          </w:p>
          <w:p w14:paraId="46D37E10" w14:textId="77777777" w:rsidR="00C439C4" w:rsidRPr="00186AA1" w:rsidRDefault="00C439C4" w:rsidP="003A6A44">
            <w:pPr>
              <w:pStyle w:val="ListParagraph"/>
              <w:numPr>
                <w:ilvl w:val="0"/>
                <w:numId w:val="28"/>
              </w:numPr>
              <w:overflowPunct w:val="0"/>
              <w:autoSpaceDE w:val="0"/>
              <w:autoSpaceDN w:val="0"/>
              <w:adjustRightInd w:val="0"/>
              <w:spacing w:after="0"/>
              <w:textAlignment w:val="baseline"/>
              <w:rPr>
                <w:bCs/>
                <w:lang w:eastAsia="zh-CN"/>
              </w:rPr>
            </w:pPr>
            <w:r w:rsidRPr="00186AA1">
              <w:rPr>
                <w:bCs/>
                <w:lang w:eastAsia="zh-CN"/>
              </w:rPr>
              <w:t>NPUSCH is mapped as per current specifications.</w:t>
            </w:r>
          </w:p>
          <w:p w14:paraId="3A980521" w14:textId="77777777" w:rsidR="00C439C4" w:rsidRPr="00B702D9" w:rsidRDefault="00C439C4" w:rsidP="003A6A44">
            <w:pPr>
              <w:pStyle w:val="ListParagraph"/>
              <w:numPr>
                <w:ilvl w:val="0"/>
                <w:numId w:val="28"/>
              </w:numPr>
              <w:overflowPunct w:val="0"/>
              <w:autoSpaceDE w:val="0"/>
              <w:autoSpaceDN w:val="0"/>
              <w:adjustRightInd w:val="0"/>
              <w:spacing w:after="0"/>
              <w:textAlignment w:val="baseline"/>
              <w:rPr>
                <w:bCs/>
                <w:lang w:eastAsia="zh-CN"/>
              </w:rPr>
            </w:pPr>
            <w:r w:rsidRPr="00186AA1">
              <w:rPr>
                <w:bCs/>
                <w:lang w:eastAsia="zh-CN"/>
              </w:rPr>
              <w:t>NOTE: “non-U NB-IoT subframes” are subframes not contained within the set of U=8 usable consecutive uplink subframes in the TDD structure.</w:t>
            </w:r>
          </w:p>
        </w:tc>
      </w:tr>
    </w:tbl>
    <w:p w14:paraId="0A0962C4" w14:textId="5EF544A9" w:rsidR="00C439C4" w:rsidRDefault="00C439C4" w:rsidP="00C439C4">
      <w:pPr>
        <w:spacing w:before="240"/>
        <w:rPr>
          <w:bCs/>
          <w:lang w:eastAsia="zh-CN"/>
        </w:rPr>
      </w:pPr>
      <w:r>
        <w:rPr>
          <w:bCs/>
          <w:lang w:eastAsia="zh-CN"/>
        </w:rPr>
        <w:t xml:space="preserve">This is a good starting point to handle the sparse uplink resource availability for the individual UE, but from the network point of view it may still happen that multiple UEs postpone their semi-static uplink resource to the next valid uplink subframe and therefore there will be resource scarcity and in the worst-case scenario even collisions. </w:t>
      </w:r>
    </w:p>
    <w:p w14:paraId="251E9E98" w14:textId="45E1B0FC" w:rsidR="00C439C4" w:rsidRPr="00A14075" w:rsidRDefault="00C439C4" w:rsidP="00C439C4">
      <w:r>
        <w:rPr>
          <w:b/>
          <w:bCs/>
        </w:rPr>
        <w:t>Observation</w:t>
      </w:r>
      <w:r>
        <w:rPr>
          <w:rFonts w:hint="eastAsia"/>
          <w:b/>
          <w:bCs/>
          <w:lang w:eastAsia="zh-CN"/>
        </w:rPr>
        <w:t xml:space="preserve"> </w:t>
      </w:r>
      <w:r w:rsidR="00AA1266">
        <w:rPr>
          <w:b/>
          <w:bCs/>
          <w:lang w:eastAsia="zh-CN"/>
        </w:rPr>
        <w:t>1</w:t>
      </w:r>
      <w:r>
        <w:rPr>
          <w:b/>
          <w:bCs/>
        </w:rPr>
        <w:t>: when multiple UEs postpone their SPS resource to the next valid UL subframe there may be collisions</w:t>
      </w:r>
      <w:r>
        <w:rPr>
          <w:rFonts w:hint="eastAsia"/>
          <w:b/>
          <w:bCs/>
          <w:lang w:eastAsia="zh-CN"/>
        </w:rPr>
        <w:t xml:space="preserve"> between different UEs</w:t>
      </w:r>
      <w:r>
        <w:rPr>
          <w:b/>
          <w:bCs/>
        </w:rPr>
        <w:t>.</w:t>
      </w:r>
      <w:r w:rsidRPr="00A14075">
        <w:t xml:space="preserve"> </w:t>
      </w:r>
    </w:p>
    <w:p w14:paraId="22B6F933" w14:textId="4CD892ED" w:rsidR="00C439C4" w:rsidRDefault="00C439C4" w:rsidP="00C439C4">
      <w:pPr>
        <w:rPr>
          <w:bCs/>
          <w:lang w:eastAsia="zh-CN"/>
        </w:rPr>
      </w:pPr>
      <w:r>
        <w:rPr>
          <w:rFonts w:hint="eastAsia"/>
          <w:bCs/>
          <w:lang w:eastAsia="zh-CN"/>
        </w:rPr>
        <w:lastRenderedPageBreak/>
        <w:t xml:space="preserve">One may </w:t>
      </w:r>
      <w:r>
        <w:rPr>
          <w:bCs/>
          <w:lang w:eastAsia="zh-CN"/>
        </w:rPr>
        <w:t>argue</w:t>
      </w:r>
      <w:r>
        <w:rPr>
          <w:rFonts w:hint="eastAsia"/>
          <w:bCs/>
          <w:lang w:eastAsia="zh-CN"/>
        </w:rPr>
        <w:t xml:space="preserve"> that the</w:t>
      </w:r>
      <w:r>
        <w:rPr>
          <w:bCs/>
          <w:lang w:eastAsia="zh-CN"/>
        </w:rPr>
        <w:t xml:space="preserve"> postponement</w:t>
      </w:r>
      <w:r w:rsidRPr="00645944">
        <w:rPr>
          <w:bCs/>
          <w:lang w:eastAsia="zh-CN"/>
        </w:rPr>
        <w:t xml:space="preserve"> i</w:t>
      </w:r>
      <w:r>
        <w:rPr>
          <w:bCs/>
          <w:lang w:eastAsia="zh-CN"/>
        </w:rPr>
        <w:t xml:space="preserve">ssue </w:t>
      </w:r>
      <w:r>
        <w:rPr>
          <w:rFonts w:hint="eastAsia"/>
          <w:bCs/>
          <w:lang w:eastAsia="zh-CN"/>
        </w:rPr>
        <w:t xml:space="preserve">can </w:t>
      </w:r>
      <w:r>
        <w:rPr>
          <w:bCs/>
          <w:lang w:eastAsia="zh-CN"/>
        </w:rPr>
        <w:t xml:space="preserve">be addressed by network implementation, </w:t>
      </w:r>
      <w:r>
        <w:rPr>
          <w:rFonts w:hint="eastAsia"/>
          <w:bCs/>
          <w:lang w:eastAsia="zh-CN"/>
        </w:rPr>
        <w:t>for example, by allocat</w:t>
      </w:r>
      <w:r>
        <w:rPr>
          <w:bCs/>
          <w:lang w:eastAsia="zh-CN"/>
        </w:rPr>
        <w:t>ing</w:t>
      </w:r>
      <w:r>
        <w:rPr>
          <w:rFonts w:hint="eastAsia"/>
          <w:bCs/>
          <w:lang w:eastAsia="zh-CN"/>
        </w:rPr>
        <w:t xml:space="preserve"> different UE</w:t>
      </w:r>
      <w:r>
        <w:rPr>
          <w:bCs/>
          <w:lang w:eastAsia="zh-CN"/>
        </w:rPr>
        <w:t>s</w:t>
      </w:r>
      <w:r>
        <w:rPr>
          <w:rFonts w:hint="eastAsia"/>
          <w:bCs/>
          <w:lang w:eastAsia="zh-CN"/>
        </w:rPr>
        <w:t xml:space="preserve"> in different frequency domain resource</w:t>
      </w:r>
      <w:r>
        <w:rPr>
          <w:bCs/>
          <w:lang w:eastAsia="zh-CN"/>
        </w:rPr>
        <w:t>s</w:t>
      </w:r>
      <w:r>
        <w:rPr>
          <w:rFonts w:hint="eastAsia"/>
          <w:bCs/>
          <w:lang w:eastAsia="zh-CN"/>
        </w:rPr>
        <w:t xml:space="preserve">.  However, since the </w:t>
      </w:r>
      <w:r>
        <w:rPr>
          <w:bCs/>
          <w:lang w:eastAsia="zh-CN"/>
        </w:rPr>
        <w:t xml:space="preserve">NB-IoT has </w:t>
      </w:r>
      <w:r>
        <w:rPr>
          <w:rFonts w:hint="eastAsia"/>
          <w:bCs/>
          <w:lang w:eastAsia="zh-CN"/>
        </w:rPr>
        <w:t xml:space="preserve">only </w:t>
      </w:r>
      <w:r>
        <w:rPr>
          <w:bCs/>
          <w:lang w:eastAsia="zh-CN"/>
        </w:rPr>
        <w:t xml:space="preserve">1 PRB </w:t>
      </w:r>
      <w:r>
        <w:rPr>
          <w:rFonts w:hint="eastAsia"/>
          <w:bCs/>
          <w:lang w:eastAsia="zh-CN"/>
        </w:rPr>
        <w:t>(</w:t>
      </w:r>
      <w:r>
        <w:rPr>
          <w:bCs/>
          <w:lang w:eastAsia="zh-CN"/>
        </w:rPr>
        <w:t xml:space="preserve">12 </w:t>
      </w:r>
      <w:r>
        <w:rPr>
          <w:rFonts w:hint="eastAsia"/>
          <w:bCs/>
          <w:lang w:eastAsia="zh-CN"/>
        </w:rPr>
        <w:t>tone)</w:t>
      </w:r>
      <w:r>
        <w:rPr>
          <w:bCs/>
          <w:lang w:eastAsia="zh-CN"/>
        </w:rPr>
        <w:t xml:space="preserve"> when the subcarrier spacing is 15 kHz</w:t>
      </w:r>
      <w:r>
        <w:rPr>
          <w:rFonts w:hint="eastAsia"/>
          <w:bCs/>
          <w:lang w:eastAsia="zh-CN"/>
        </w:rPr>
        <w:t xml:space="preserve">, it is not possible to allocate two UEs with different frequency domain resource if the UE is allocated with 12 tone </w:t>
      </w:r>
      <w:r>
        <w:rPr>
          <w:bCs/>
          <w:lang w:eastAsia="zh-CN"/>
        </w:rPr>
        <w:t>transmission. It is worth noting that any UE having a SPS resource, which occurs within the time between a first UL occasion and the start of a second UL occasion, will all postpone the resource to the first valid UL subframe of the second UL occasion.</w:t>
      </w:r>
    </w:p>
    <w:p w14:paraId="651FA9B5" w14:textId="2B897B58" w:rsidR="0011069B" w:rsidRDefault="0011069B" w:rsidP="00C439C4">
      <w:pPr>
        <w:rPr>
          <w:bCs/>
          <w:lang w:eastAsia="zh-CN"/>
        </w:rPr>
      </w:pPr>
      <w:r>
        <w:rPr>
          <w:bCs/>
          <w:lang w:eastAsia="zh-CN"/>
        </w:rPr>
        <w:t xml:space="preserve">At RAN2 #131bis it was discussed </w:t>
      </w:r>
      <w:r w:rsidR="00D30444">
        <w:rPr>
          <w:bCs/>
          <w:lang w:eastAsia="zh-CN"/>
        </w:rPr>
        <w:t xml:space="preserve">the SPS interval can be a multiple of 90 </w:t>
      </w:r>
      <w:proofErr w:type="spellStart"/>
      <w:r w:rsidR="00D30444">
        <w:rPr>
          <w:bCs/>
          <w:lang w:eastAsia="zh-CN"/>
        </w:rPr>
        <w:t>ms</w:t>
      </w:r>
      <w:proofErr w:type="spellEnd"/>
      <w:r w:rsidR="00D30444">
        <w:rPr>
          <w:bCs/>
          <w:lang w:eastAsia="zh-CN"/>
        </w:rPr>
        <w:t xml:space="preserve">. </w:t>
      </w:r>
      <w:r w:rsidR="00BF3D2C">
        <w:rPr>
          <w:bCs/>
          <w:lang w:eastAsia="zh-CN"/>
        </w:rPr>
        <w:t xml:space="preserve">However, it is not clear how this solves the problem, since the </w:t>
      </w:r>
      <w:r w:rsidR="00397BB6">
        <w:rPr>
          <w:bCs/>
          <w:lang w:eastAsia="zh-CN"/>
        </w:rPr>
        <w:t>“offset” of the interval is not adjustable</w:t>
      </w:r>
      <w:r w:rsidR="006B409E">
        <w:rPr>
          <w:rFonts w:hint="eastAsia"/>
          <w:bCs/>
          <w:lang w:eastAsia="zh-CN"/>
        </w:rPr>
        <w:t xml:space="preserve"> in NB-IoT</w:t>
      </w:r>
      <w:r w:rsidR="00397BB6">
        <w:rPr>
          <w:bCs/>
          <w:lang w:eastAsia="zh-CN"/>
        </w:rPr>
        <w:t>. The current MAC specification defines</w:t>
      </w:r>
    </w:p>
    <w:tbl>
      <w:tblPr>
        <w:tblStyle w:val="TableGrid"/>
        <w:tblW w:w="0" w:type="auto"/>
        <w:tblLook w:val="04A0" w:firstRow="1" w:lastRow="0" w:firstColumn="1" w:lastColumn="0" w:noHBand="0" w:noVBand="1"/>
      </w:tblPr>
      <w:tblGrid>
        <w:gridCol w:w="9631"/>
      </w:tblGrid>
      <w:tr w:rsidR="00397BB6" w14:paraId="58BAA24E" w14:textId="77777777" w:rsidTr="00397BB6">
        <w:tc>
          <w:tcPr>
            <w:tcW w:w="9631" w:type="dxa"/>
          </w:tcPr>
          <w:p w14:paraId="4C46CC4D" w14:textId="77777777" w:rsidR="00890087" w:rsidRDefault="00890087" w:rsidP="00DC7527">
            <w:pPr>
              <w:pStyle w:val="Heading2"/>
            </w:pPr>
            <w:r>
              <w:t>5</w:t>
            </w:r>
            <w:r w:rsidR="0029702E">
              <w:t xml:space="preserve">.10.2 Uplink </w:t>
            </w:r>
          </w:p>
          <w:p w14:paraId="37FA3560" w14:textId="77777777" w:rsidR="00890087" w:rsidRDefault="0029702E" w:rsidP="00C439C4">
            <w:r>
              <w:t xml:space="preserve">After a Semi-Persistent Scheduling uplink grant is configured, the MAC entity shall: </w:t>
            </w:r>
          </w:p>
          <w:p w14:paraId="03D2A146" w14:textId="77777777" w:rsidR="00890087" w:rsidRDefault="0029702E" w:rsidP="00C439C4">
            <w:r>
              <w:t xml:space="preserve">- if </w:t>
            </w:r>
            <w:proofErr w:type="spellStart"/>
            <w:r>
              <w:t>twoIntervalsConfig</w:t>
            </w:r>
            <w:proofErr w:type="spellEnd"/>
            <w:r>
              <w:t xml:space="preserve"> is enabled by upper layer: </w:t>
            </w:r>
          </w:p>
          <w:p w14:paraId="607FB04D" w14:textId="77777777" w:rsidR="00890087" w:rsidRDefault="0029702E" w:rsidP="00890087">
            <w:pPr>
              <w:ind w:left="284"/>
            </w:pPr>
            <w:r>
              <w:t xml:space="preserve">- set the Subframe_Offset according to Table 7.4-1. </w:t>
            </w:r>
          </w:p>
          <w:p w14:paraId="506EFAAE" w14:textId="77777777" w:rsidR="00890087" w:rsidRDefault="0029702E" w:rsidP="00890087">
            <w:r>
              <w:t xml:space="preserve">- else: </w:t>
            </w:r>
          </w:p>
          <w:p w14:paraId="5AD5D693" w14:textId="77777777" w:rsidR="00890087" w:rsidRDefault="0029702E" w:rsidP="00890087">
            <w:pPr>
              <w:ind w:left="284"/>
            </w:pPr>
            <w:r>
              <w:t xml:space="preserve">- set Subframe_Offset to 0. </w:t>
            </w:r>
          </w:p>
          <w:p w14:paraId="322E15D3" w14:textId="77777777" w:rsidR="00890087" w:rsidRDefault="0029702E" w:rsidP="00890087">
            <w:r>
              <w:t xml:space="preserve">- consider sequentially that the Nth grant occurs in the TTI for which: </w:t>
            </w:r>
          </w:p>
          <w:p w14:paraId="02AAA344" w14:textId="77777777" w:rsidR="00890087" w:rsidRDefault="0029702E" w:rsidP="00890087">
            <w:pPr>
              <w:ind w:left="284"/>
            </w:pPr>
            <w:r>
              <w:t xml:space="preserve">- subframe SPS is used: </w:t>
            </w:r>
          </w:p>
          <w:p w14:paraId="13FDAF4A" w14:textId="77777777" w:rsidR="00EA3566" w:rsidRDefault="0029702E" w:rsidP="00890087">
            <w:pPr>
              <w:ind w:left="568"/>
            </w:pPr>
            <w:r>
              <w:t xml:space="preserve">- (10 * SFN + subframe) = [(10 * </w:t>
            </w:r>
            <w:proofErr w:type="spellStart"/>
            <w:r>
              <w:t>SFNstart</w:t>
            </w:r>
            <w:proofErr w:type="spellEnd"/>
            <w:r>
              <w:t xml:space="preserve"> time + </w:t>
            </w:r>
            <w:proofErr w:type="spellStart"/>
            <w:r>
              <w:t>subframestart</w:t>
            </w:r>
            <w:proofErr w:type="spellEnd"/>
            <w:r>
              <w:t xml:space="preserve"> time) + N * </w:t>
            </w:r>
            <w:proofErr w:type="spellStart"/>
            <w:r>
              <w:t>semiPersistSchedIntervalUL</w:t>
            </w:r>
            <w:proofErr w:type="spellEnd"/>
            <w:r>
              <w:t xml:space="preserve"> + Subframe_Offset * (N modulo 2)] modulo 10240. </w:t>
            </w:r>
          </w:p>
          <w:p w14:paraId="09548ABA" w14:textId="77777777" w:rsidR="00EA3566" w:rsidRDefault="0029702E" w:rsidP="00EA3566">
            <w:pPr>
              <w:ind w:left="284"/>
            </w:pPr>
            <w:r>
              <w:t xml:space="preserve">- slot or </w:t>
            </w:r>
            <w:proofErr w:type="spellStart"/>
            <w:r>
              <w:t>subslot</w:t>
            </w:r>
            <w:proofErr w:type="spellEnd"/>
            <w:r>
              <w:t xml:space="preserve"> SPS is used: </w:t>
            </w:r>
          </w:p>
          <w:p w14:paraId="44375497" w14:textId="21327AC6" w:rsidR="00EA3566" w:rsidRDefault="0029702E" w:rsidP="00890087">
            <w:pPr>
              <w:ind w:left="568"/>
            </w:pPr>
            <w:r>
              <w:t xml:space="preserve">- (10 * SFN * </w:t>
            </w:r>
            <w:proofErr w:type="spellStart"/>
            <w:r>
              <w:t>sTTI_Number_Per_Subframe</w:t>
            </w:r>
            <w:proofErr w:type="spellEnd"/>
            <w:r>
              <w:t xml:space="preserve"> + subframe * </w:t>
            </w:r>
            <w:proofErr w:type="spellStart"/>
            <w:r>
              <w:t>sTTI_Number_Per_Subframe</w:t>
            </w:r>
            <w:proofErr w:type="spellEnd"/>
            <w:r>
              <w:t xml:space="preserve"> + </w:t>
            </w:r>
            <w:proofErr w:type="spellStart"/>
            <w:r>
              <w:t>sTTI_number</w:t>
            </w:r>
            <w:proofErr w:type="spellEnd"/>
            <w:r>
              <w:t xml:space="preserve">) = [(10 * </w:t>
            </w:r>
            <w:proofErr w:type="spellStart"/>
            <w:r>
              <w:t>SFNstart</w:t>
            </w:r>
            <w:proofErr w:type="spellEnd"/>
            <w:r>
              <w:t xml:space="preserve"> time * </w:t>
            </w:r>
            <w:proofErr w:type="spellStart"/>
            <w:r>
              <w:t>sTTI_Number_Per_Subframe</w:t>
            </w:r>
            <w:proofErr w:type="spellEnd"/>
            <w:r>
              <w:t xml:space="preserve"> + </w:t>
            </w:r>
            <w:proofErr w:type="spellStart"/>
            <w:r>
              <w:t>subframestart</w:t>
            </w:r>
            <w:proofErr w:type="spellEnd"/>
            <w:r>
              <w:t xml:space="preserve"> time * </w:t>
            </w:r>
            <w:proofErr w:type="spellStart"/>
            <w:r>
              <w:t>sTTI_Number_Per_Subframe</w:t>
            </w:r>
            <w:proofErr w:type="spellEnd"/>
            <w:r>
              <w:t xml:space="preserve"> + </w:t>
            </w:r>
            <w:proofErr w:type="spellStart"/>
            <w:r>
              <w:t>sTTIStartTimeUl</w:t>
            </w:r>
            <w:proofErr w:type="spellEnd"/>
            <w:r>
              <w:t xml:space="preserve">) + N * </w:t>
            </w:r>
            <w:proofErr w:type="spellStart"/>
            <w:r>
              <w:t>semiPersistSchedIntervalUL-sTTI</w:t>
            </w:r>
            <w:proofErr w:type="spellEnd"/>
            <w:r>
              <w:t xml:space="preserve">+ Subframe_Offset * (N modulo 2) * </w:t>
            </w:r>
            <w:proofErr w:type="spellStart"/>
            <w:r>
              <w:t>sTTI_Number_Per_Subframe</w:t>
            </w:r>
            <w:proofErr w:type="spellEnd"/>
            <w:r>
              <w:t xml:space="preserve">] modulo (10240 * </w:t>
            </w:r>
            <w:proofErr w:type="spellStart"/>
            <w:r>
              <w:t>sTTI_Number_Per_Subframe</w:t>
            </w:r>
            <w:proofErr w:type="spellEnd"/>
            <w:r>
              <w:t xml:space="preserve">). </w:t>
            </w:r>
          </w:p>
          <w:p w14:paraId="62DED987" w14:textId="2BF72AF2" w:rsidR="0029702E" w:rsidRDefault="0029702E" w:rsidP="00EA3566">
            <w:r>
              <w:t xml:space="preserve">Where </w:t>
            </w:r>
            <w:proofErr w:type="spellStart"/>
            <w:r>
              <w:t>SFNstart</w:t>
            </w:r>
            <w:proofErr w:type="spellEnd"/>
            <w:r>
              <w:t xml:space="preserve"> time, </w:t>
            </w:r>
            <w:proofErr w:type="spellStart"/>
            <w:r>
              <w:t>subframestart</w:t>
            </w:r>
            <w:proofErr w:type="spellEnd"/>
            <w:r>
              <w:t xml:space="preserve"> time and </w:t>
            </w:r>
            <w:proofErr w:type="spellStart"/>
            <w:r>
              <w:t>sTTIStartTimeUl</w:t>
            </w:r>
            <w:proofErr w:type="spellEnd"/>
            <w:r>
              <w:t xml:space="preserve"> are the SFN, subframe and </w:t>
            </w:r>
            <w:proofErr w:type="spellStart"/>
            <w:r>
              <w:t>sTTI_number</w:t>
            </w:r>
            <w:proofErr w:type="spellEnd"/>
            <w:r>
              <w:t xml:space="preserve">, respectively, </w:t>
            </w:r>
            <w:r w:rsidRPr="00C54CB7">
              <w:t xml:space="preserve">at the time the configured uplink grant </w:t>
            </w:r>
            <w:proofErr w:type="gramStart"/>
            <w:r w:rsidRPr="00C54CB7">
              <w:t>were</w:t>
            </w:r>
            <w:proofErr w:type="gramEnd"/>
            <w:r w:rsidRPr="00C54CB7">
              <w:t xml:space="preserve"> (re-)initialised</w:t>
            </w:r>
            <w:r>
              <w:t xml:space="preserve">. The </w:t>
            </w:r>
            <w:proofErr w:type="spellStart"/>
            <w:r>
              <w:t>sTTI_Number_Per_Subframe</w:t>
            </w:r>
            <w:proofErr w:type="spellEnd"/>
            <w:r>
              <w:t xml:space="preserve"> is 6 when </w:t>
            </w:r>
            <w:proofErr w:type="spellStart"/>
            <w:r>
              <w:t>subslot</w:t>
            </w:r>
            <w:proofErr w:type="spellEnd"/>
            <w:r>
              <w:t xml:space="preserve"> TTI is </w:t>
            </w:r>
            <w:proofErr w:type="spellStart"/>
            <w:r>
              <w:t>configued</w:t>
            </w:r>
            <w:proofErr w:type="spellEnd"/>
            <w:r>
              <w:t xml:space="preserve"> and 2 when slot TTI is configured for short TTI operation. </w:t>
            </w:r>
            <w:proofErr w:type="spellStart"/>
            <w:r>
              <w:t>sTTI_number</w:t>
            </w:r>
            <w:proofErr w:type="spellEnd"/>
            <w:r>
              <w:t xml:space="preserve"> refers to the index of the short TTI, i.e., index of </w:t>
            </w:r>
            <w:proofErr w:type="spellStart"/>
            <w:r>
              <w:t>subslot</w:t>
            </w:r>
            <w:proofErr w:type="spellEnd"/>
            <w:r>
              <w:t xml:space="preserve"> or slot within the subframe.</w:t>
            </w:r>
          </w:p>
          <w:p w14:paraId="315EB625" w14:textId="485403B4" w:rsidR="00EA3566" w:rsidRDefault="00EA3566" w:rsidP="00EA3566">
            <w:pPr>
              <w:rPr>
                <w:bCs/>
                <w:lang w:eastAsia="zh-CN"/>
              </w:rPr>
            </w:pPr>
            <w:r>
              <w:t>…</w:t>
            </w:r>
          </w:p>
          <w:p w14:paraId="0AEA4736" w14:textId="10ECAE13" w:rsidR="00397BB6" w:rsidRDefault="00397BB6" w:rsidP="00C439C4">
            <w:pPr>
              <w:rPr>
                <w:bCs/>
                <w:lang w:eastAsia="zh-CN"/>
              </w:rPr>
            </w:pPr>
            <w:r w:rsidRPr="00DC7527">
              <w:rPr>
                <w:bCs/>
                <w:highlight w:val="yellow"/>
                <w:lang w:eastAsia="zh-CN"/>
              </w:rPr>
              <w:t xml:space="preserve">For NB-IoT UEs, BL UEs or UEs in enhanced coverage </w:t>
            </w:r>
            <w:proofErr w:type="spellStart"/>
            <w:r w:rsidRPr="00DC7527">
              <w:rPr>
                <w:bCs/>
                <w:highlight w:val="yellow"/>
                <w:lang w:eastAsia="zh-CN"/>
              </w:rPr>
              <w:t>SFNstart</w:t>
            </w:r>
            <w:proofErr w:type="spellEnd"/>
            <w:r w:rsidRPr="00DC7527">
              <w:rPr>
                <w:bCs/>
                <w:highlight w:val="yellow"/>
                <w:lang w:eastAsia="zh-CN"/>
              </w:rPr>
              <w:t xml:space="preserve"> time and </w:t>
            </w:r>
            <w:proofErr w:type="spellStart"/>
            <w:r w:rsidRPr="00DC7527">
              <w:rPr>
                <w:bCs/>
                <w:highlight w:val="yellow"/>
                <w:lang w:eastAsia="zh-CN"/>
              </w:rPr>
              <w:t>subframestart</w:t>
            </w:r>
            <w:proofErr w:type="spellEnd"/>
            <w:r w:rsidRPr="00DC7527">
              <w:rPr>
                <w:bCs/>
                <w:highlight w:val="yellow"/>
                <w:lang w:eastAsia="zh-CN"/>
              </w:rPr>
              <w:t xml:space="preserve"> time refer to SFN and subframe of the first transmission of PUSCH where configured uplink grant was (re-)initialized.</w:t>
            </w:r>
          </w:p>
        </w:tc>
      </w:tr>
    </w:tbl>
    <w:p w14:paraId="6EA28793" w14:textId="77777777" w:rsidR="00C54CB7" w:rsidRPr="00DC7527" w:rsidRDefault="00C54CB7" w:rsidP="00C439C4">
      <w:pPr>
        <w:rPr>
          <w:bCs/>
          <w:sz w:val="2"/>
          <w:szCs w:val="2"/>
          <w:lang w:eastAsia="zh-CN"/>
        </w:rPr>
      </w:pPr>
    </w:p>
    <w:p w14:paraId="23D5FF0C" w14:textId="4E2B4FD5" w:rsidR="00397BB6" w:rsidRDefault="00224ADE" w:rsidP="00C439C4">
      <w:pPr>
        <w:rPr>
          <w:bCs/>
          <w:lang w:eastAsia="zh-CN"/>
        </w:rPr>
      </w:pPr>
      <w:proofErr w:type="gramStart"/>
      <w:r>
        <w:rPr>
          <w:bCs/>
          <w:lang w:eastAsia="zh-CN"/>
        </w:rPr>
        <w:t>Thus</w:t>
      </w:r>
      <w:proofErr w:type="gramEnd"/>
      <w:r>
        <w:rPr>
          <w:bCs/>
          <w:lang w:eastAsia="zh-CN"/>
        </w:rPr>
        <w:t xml:space="preserve"> the </w:t>
      </w:r>
      <w:proofErr w:type="spellStart"/>
      <w:r w:rsidRPr="00DC7527">
        <w:rPr>
          <w:bCs/>
          <w:i/>
          <w:iCs/>
          <w:lang w:eastAsia="zh-CN"/>
        </w:rPr>
        <w:t>SFNstart</w:t>
      </w:r>
      <w:proofErr w:type="spellEnd"/>
      <w:r w:rsidRPr="00DC7527">
        <w:rPr>
          <w:bCs/>
          <w:i/>
          <w:iCs/>
          <w:lang w:eastAsia="zh-CN"/>
        </w:rPr>
        <w:t xml:space="preserve"> time</w:t>
      </w:r>
      <w:r>
        <w:rPr>
          <w:bCs/>
          <w:lang w:eastAsia="zh-CN"/>
        </w:rPr>
        <w:t xml:space="preserve"> and </w:t>
      </w:r>
      <w:proofErr w:type="spellStart"/>
      <w:r w:rsidRPr="00DC7527">
        <w:rPr>
          <w:bCs/>
          <w:i/>
          <w:iCs/>
          <w:lang w:eastAsia="zh-CN"/>
        </w:rPr>
        <w:t>subframestart</w:t>
      </w:r>
      <w:proofErr w:type="spellEnd"/>
      <w:r w:rsidRPr="00DC7527">
        <w:rPr>
          <w:bCs/>
          <w:i/>
          <w:iCs/>
          <w:lang w:eastAsia="zh-CN"/>
        </w:rPr>
        <w:t xml:space="preserve"> time</w:t>
      </w:r>
      <w:r>
        <w:rPr>
          <w:bCs/>
          <w:i/>
          <w:iCs/>
          <w:lang w:eastAsia="zh-CN"/>
        </w:rPr>
        <w:t xml:space="preserve"> </w:t>
      </w:r>
      <w:r w:rsidR="00F5038D">
        <w:rPr>
          <w:bCs/>
          <w:lang w:eastAsia="zh-CN"/>
        </w:rPr>
        <w:t>depend on the first NPUSCH transmission.</w:t>
      </w:r>
      <w:r w:rsidR="004E7849">
        <w:rPr>
          <w:bCs/>
          <w:lang w:eastAsia="zh-CN"/>
        </w:rPr>
        <w:t xml:space="preserve"> </w:t>
      </w:r>
      <w:r w:rsidR="00665751">
        <w:rPr>
          <w:bCs/>
          <w:lang w:eastAsia="zh-CN"/>
        </w:rPr>
        <w:t>This means that</w:t>
      </w:r>
      <w:r w:rsidR="006871D4">
        <w:rPr>
          <w:bCs/>
          <w:lang w:eastAsia="zh-CN"/>
        </w:rPr>
        <w:t xml:space="preserve"> if the first NPUSCH transmission occurs (due to postponement) in the first subframe of the 8 consecutive subframes, any subsequent transmission will </w:t>
      </w:r>
      <w:r w:rsidR="00F475AF">
        <w:rPr>
          <w:bCs/>
          <w:lang w:eastAsia="zh-CN"/>
        </w:rPr>
        <w:t xml:space="preserve">occur in the same </w:t>
      </w:r>
      <w:r w:rsidR="002F0455">
        <w:rPr>
          <w:bCs/>
          <w:lang w:eastAsia="zh-CN"/>
        </w:rPr>
        <w:t xml:space="preserve">first </w:t>
      </w:r>
      <w:r w:rsidR="00F475AF">
        <w:rPr>
          <w:bCs/>
          <w:lang w:eastAsia="zh-CN"/>
        </w:rPr>
        <w:t>subframe of a later set of 8 consecutive subframes, and thus the collision issue is not resolved.</w:t>
      </w:r>
    </w:p>
    <w:p w14:paraId="1B60BBE1" w14:textId="49E511C9" w:rsidR="00DD724C" w:rsidRPr="00DC7527" w:rsidRDefault="00DD724C" w:rsidP="00C439C4">
      <w:pPr>
        <w:rPr>
          <w:b/>
          <w:lang w:eastAsia="zh-CN"/>
        </w:rPr>
      </w:pPr>
      <w:r>
        <w:rPr>
          <w:b/>
          <w:lang w:eastAsia="zh-CN"/>
        </w:rPr>
        <w:t>Observation</w:t>
      </w:r>
      <w:r w:rsidR="00AA1266">
        <w:rPr>
          <w:b/>
          <w:lang w:eastAsia="zh-CN"/>
        </w:rPr>
        <w:t xml:space="preserve"> 2</w:t>
      </w:r>
      <w:r>
        <w:rPr>
          <w:b/>
          <w:lang w:eastAsia="zh-CN"/>
        </w:rPr>
        <w:t xml:space="preserve">: </w:t>
      </w:r>
      <w:r w:rsidR="003D6077">
        <w:rPr>
          <w:b/>
          <w:lang w:eastAsia="zh-CN"/>
        </w:rPr>
        <w:t xml:space="preserve">For NB-IoT UEs the </w:t>
      </w:r>
      <w:proofErr w:type="spellStart"/>
      <w:r w:rsidR="003D6077" w:rsidRPr="00DC7527">
        <w:rPr>
          <w:b/>
          <w:i/>
          <w:iCs/>
          <w:lang w:eastAsia="zh-CN"/>
        </w:rPr>
        <w:t>subframestart</w:t>
      </w:r>
      <w:proofErr w:type="spellEnd"/>
      <w:r w:rsidR="003D6077" w:rsidRPr="00DC7527">
        <w:rPr>
          <w:b/>
          <w:i/>
          <w:iCs/>
          <w:lang w:eastAsia="zh-CN"/>
        </w:rPr>
        <w:t xml:space="preserve"> time</w:t>
      </w:r>
      <w:r w:rsidR="003D6077">
        <w:rPr>
          <w:b/>
          <w:i/>
          <w:iCs/>
          <w:lang w:eastAsia="zh-CN"/>
        </w:rPr>
        <w:t xml:space="preserve"> </w:t>
      </w:r>
      <w:r w:rsidR="003D6077">
        <w:rPr>
          <w:b/>
          <w:lang w:eastAsia="zh-CN"/>
        </w:rPr>
        <w:t xml:space="preserve">refers to the first transmission of the </w:t>
      </w:r>
      <w:r w:rsidR="000A0E69">
        <w:rPr>
          <w:b/>
          <w:lang w:eastAsia="zh-CN"/>
        </w:rPr>
        <w:t>N</w:t>
      </w:r>
      <w:r w:rsidR="003D6077">
        <w:rPr>
          <w:b/>
          <w:lang w:eastAsia="zh-CN"/>
        </w:rPr>
        <w:t xml:space="preserve">PUSCH and </w:t>
      </w:r>
      <w:r w:rsidR="00D51E1F">
        <w:rPr>
          <w:b/>
          <w:lang w:eastAsia="zh-CN"/>
        </w:rPr>
        <w:t xml:space="preserve">a 90 </w:t>
      </w:r>
      <w:proofErr w:type="spellStart"/>
      <w:r w:rsidR="00D51E1F">
        <w:rPr>
          <w:b/>
          <w:lang w:eastAsia="zh-CN"/>
        </w:rPr>
        <w:t>ms</w:t>
      </w:r>
      <w:proofErr w:type="spellEnd"/>
      <w:r w:rsidR="00D51E1F">
        <w:rPr>
          <w:b/>
          <w:lang w:eastAsia="zh-CN"/>
        </w:rPr>
        <w:t xml:space="preserve"> </w:t>
      </w:r>
      <w:r w:rsidR="009A0D22">
        <w:rPr>
          <w:b/>
          <w:lang w:eastAsia="zh-CN"/>
        </w:rPr>
        <w:t xml:space="preserve">SPS </w:t>
      </w:r>
      <w:r w:rsidR="00D51E1F">
        <w:rPr>
          <w:b/>
          <w:lang w:eastAsia="zh-CN"/>
        </w:rPr>
        <w:t xml:space="preserve">periodicity </w:t>
      </w:r>
      <w:r w:rsidR="00683741">
        <w:rPr>
          <w:b/>
          <w:lang w:eastAsia="zh-CN"/>
        </w:rPr>
        <w:t xml:space="preserve">will therefore not resolve </w:t>
      </w:r>
      <w:r w:rsidR="009A0D22">
        <w:rPr>
          <w:b/>
          <w:lang w:eastAsia="zh-CN"/>
        </w:rPr>
        <w:t>collisions</w:t>
      </w:r>
      <w:r w:rsidR="004F7F9F">
        <w:rPr>
          <w:b/>
          <w:lang w:eastAsia="zh-CN"/>
        </w:rPr>
        <w:t xml:space="preserve"> on its own</w:t>
      </w:r>
      <w:r w:rsidR="009A0D22">
        <w:rPr>
          <w:b/>
          <w:lang w:eastAsia="zh-CN"/>
        </w:rPr>
        <w:t>.</w:t>
      </w:r>
    </w:p>
    <w:p w14:paraId="6082D40B" w14:textId="0DC999EF" w:rsidR="00C439C4" w:rsidRDefault="009A0D22" w:rsidP="00C439C4">
      <w:pPr>
        <w:rPr>
          <w:bCs/>
          <w:lang w:eastAsia="zh-CN"/>
        </w:rPr>
      </w:pPr>
      <w:r>
        <w:rPr>
          <w:bCs/>
          <w:lang w:eastAsia="zh-CN"/>
        </w:rPr>
        <w:t>W</w:t>
      </w:r>
      <w:r w:rsidR="00C439C4">
        <w:rPr>
          <w:bCs/>
          <w:lang w:eastAsia="zh-CN"/>
        </w:rPr>
        <w:t xml:space="preserve">e propose RAN2 to discuss alternative solutions to handle the SPS postponement issue. We think one useful way forward can be to define that some SPS resources are not postponed to the next valid UL subframe </w:t>
      </w:r>
      <w:r w:rsidR="00257804">
        <w:rPr>
          <w:bCs/>
          <w:lang w:eastAsia="zh-CN"/>
        </w:rPr>
        <w:t xml:space="preserve">(i.e. the first subframe of the 8 consecutive uplink subframes) </w:t>
      </w:r>
      <w:r w:rsidR="00C439C4">
        <w:rPr>
          <w:bCs/>
          <w:lang w:eastAsia="zh-CN"/>
        </w:rPr>
        <w:t>but further offset to another valid UL subframe.</w:t>
      </w:r>
      <w:r>
        <w:rPr>
          <w:bCs/>
          <w:lang w:eastAsia="zh-CN"/>
        </w:rPr>
        <w:t xml:space="preserve"> For example, </w:t>
      </w:r>
      <w:r w:rsidR="00BE2FC1">
        <w:rPr>
          <w:bCs/>
          <w:lang w:eastAsia="zh-CN"/>
        </w:rPr>
        <w:t xml:space="preserve">the network may configure a </w:t>
      </w:r>
      <w:r w:rsidR="00DC6B7F" w:rsidRPr="00C75386">
        <w:rPr>
          <w:rFonts w:eastAsia="Times New Roman"/>
          <w:i/>
          <w:iCs/>
          <w:lang w:eastAsia="zh-CN"/>
        </w:rPr>
        <w:t>UL-SPS-postponed-</w:t>
      </w:r>
      <w:r w:rsidR="00BE2FC1">
        <w:rPr>
          <w:i/>
          <w:lang w:eastAsia="zh-CN"/>
        </w:rPr>
        <w:t>offset</w:t>
      </w:r>
      <w:r w:rsidR="00DC6B7F">
        <w:rPr>
          <w:rFonts w:hint="eastAsia"/>
          <w:i/>
          <w:iCs/>
          <w:lang w:eastAsia="zh-CN"/>
        </w:rPr>
        <w:t xml:space="preserve"> </w:t>
      </w:r>
      <w:r w:rsidR="00DC6B7F" w:rsidRPr="00111A9A">
        <w:rPr>
          <w:rFonts w:eastAsia="Times New Roman"/>
          <w:lang w:eastAsia="zh-CN"/>
        </w:rPr>
        <w:t>subframe</w:t>
      </w:r>
      <w:r w:rsidR="00BE2FC1">
        <w:rPr>
          <w:bCs/>
          <w:lang w:eastAsia="zh-CN"/>
        </w:rPr>
        <w:t xml:space="preserve"> as part of the SPS configuration, which the UE applies if it postpones the SPS transmission. </w:t>
      </w:r>
      <w:r w:rsidR="002B62F6">
        <w:rPr>
          <w:bCs/>
          <w:lang w:eastAsia="zh-CN"/>
        </w:rPr>
        <w:t xml:space="preserve">In this case the UE postpones the transmission to the </w:t>
      </w:r>
      <w:r w:rsidR="00612734">
        <w:rPr>
          <w:bCs/>
          <w:lang w:eastAsia="zh-CN"/>
        </w:rPr>
        <w:t>configured subframe instead of the first subframe of the 8 consecutive uplink subframes</w:t>
      </w:r>
      <w:r w:rsidR="00BE2FC1">
        <w:rPr>
          <w:bCs/>
          <w:lang w:eastAsia="zh-CN"/>
        </w:rPr>
        <w:t xml:space="preserve">. The </w:t>
      </w:r>
      <w:r w:rsidR="002B62F6" w:rsidRPr="00C75386">
        <w:rPr>
          <w:rFonts w:eastAsia="Times New Roman"/>
          <w:i/>
          <w:iCs/>
          <w:lang w:eastAsia="zh-CN"/>
        </w:rPr>
        <w:t>UL-SPS-postponed-</w:t>
      </w:r>
      <w:r w:rsidR="00BE2FC1">
        <w:rPr>
          <w:i/>
          <w:lang w:eastAsia="zh-CN"/>
        </w:rPr>
        <w:t>offset</w:t>
      </w:r>
      <w:r w:rsidR="002B62F6">
        <w:rPr>
          <w:rFonts w:hint="eastAsia"/>
          <w:i/>
          <w:iCs/>
          <w:lang w:eastAsia="zh-CN"/>
        </w:rPr>
        <w:t xml:space="preserve"> </w:t>
      </w:r>
      <w:r w:rsidR="002B62F6" w:rsidRPr="00111A9A">
        <w:rPr>
          <w:rFonts w:eastAsia="Times New Roman"/>
          <w:lang w:eastAsia="zh-CN"/>
        </w:rPr>
        <w:t>subframe</w:t>
      </w:r>
      <w:r w:rsidR="00BE2FC1">
        <w:rPr>
          <w:rFonts w:eastAsia="Times New Roman"/>
          <w:lang w:eastAsia="zh-CN"/>
        </w:rPr>
        <w:t xml:space="preserve"> </w:t>
      </w:r>
      <w:r w:rsidR="00BE2FC1">
        <w:rPr>
          <w:bCs/>
          <w:lang w:eastAsia="zh-CN"/>
        </w:rPr>
        <w:t xml:space="preserve">can be in the range 1-8 to distribute the UEs across the </w:t>
      </w:r>
      <w:r w:rsidR="00FA1781">
        <w:rPr>
          <w:bCs/>
          <w:lang w:eastAsia="zh-CN"/>
        </w:rPr>
        <w:t>8 uplink subframes.</w:t>
      </w:r>
      <w:r w:rsidR="000D69C3">
        <w:rPr>
          <w:bCs/>
          <w:lang w:eastAsia="zh-CN"/>
        </w:rPr>
        <w:t xml:space="preserve"> </w:t>
      </w:r>
      <w:r w:rsidR="00257804">
        <w:rPr>
          <w:bCs/>
          <w:lang w:eastAsia="zh-CN"/>
        </w:rPr>
        <w:t>Note, t</w:t>
      </w:r>
      <w:r w:rsidR="000D69C3">
        <w:rPr>
          <w:bCs/>
          <w:lang w:eastAsia="zh-CN"/>
        </w:rPr>
        <w:t>he use of a configured offset entails common UE and network understanding of which resource will be used.</w:t>
      </w:r>
      <w:r w:rsidR="00B27BFC">
        <w:rPr>
          <w:bCs/>
          <w:lang w:eastAsia="zh-CN"/>
        </w:rPr>
        <w:t xml:space="preserve"> We provide a TP </w:t>
      </w:r>
      <w:r w:rsidR="000C1083">
        <w:rPr>
          <w:rFonts w:hint="eastAsia"/>
          <w:bCs/>
          <w:lang w:eastAsia="zh-CN"/>
        </w:rPr>
        <w:t xml:space="preserve">to MAC specification </w:t>
      </w:r>
      <w:r w:rsidR="00B27BFC">
        <w:rPr>
          <w:bCs/>
          <w:lang w:eastAsia="zh-CN"/>
        </w:rPr>
        <w:t>for this solution in the annex.</w:t>
      </w:r>
    </w:p>
    <w:p w14:paraId="160DA4E2" w14:textId="7BE007D9" w:rsidR="00C439C4" w:rsidRDefault="00C439C4" w:rsidP="00C439C4">
      <w:pPr>
        <w:rPr>
          <w:b/>
          <w:lang w:eastAsia="zh-CN"/>
        </w:rPr>
      </w:pPr>
      <w:r>
        <w:rPr>
          <w:b/>
          <w:lang w:eastAsia="zh-CN"/>
        </w:rPr>
        <w:lastRenderedPageBreak/>
        <w:t>Proposal</w:t>
      </w:r>
      <w:r>
        <w:rPr>
          <w:rFonts w:hint="eastAsia"/>
          <w:b/>
          <w:lang w:eastAsia="zh-CN"/>
        </w:rPr>
        <w:t xml:space="preserve"> </w:t>
      </w:r>
      <w:r w:rsidR="00AA1266">
        <w:rPr>
          <w:b/>
          <w:lang w:eastAsia="zh-CN"/>
        </w:rPr>
        <w:t>1</w:t>
      </w:r>
      <w:r>
        <w:rPr>
          <w:b/>
          <w:lang w:eastAsia="zh-CN"/>
        </w:rPr>
        <w:t xml:space="preserve">: RAN2 to </w:t>
      </w:r>
      <w:r w:rsidR="00532491">
        <w:rPr>
          <w:b/>
          <w:lang w:eastAsia="zh-CN"/>
        </w:rPr>
        <w:t xml:space="preserve">define a SPS </w:t>
      </w:r>
      <w:r>
        <w:rPr>
          <w:b/>
          <w:lang w:eastAsia="zh-CN"/>
        </w:rPr>
        <w:t>postponement</w:t>
      </w:r>
      <w:r w:rsidR="000D69C3">
        <w:rPr>
          <w:b/>
          <w:lang w:eastAsia="zh-CN"/>
        </w:rPr>
        <w:t xml:space="preserve"> offset</w:t>
      </w:r>
      <w:r w:rsidR="00532491">
        <w:rPr>
          <w:b/>
          <w:lang w:eastAsia="zh-CN"/>
        </w:rPr>
        <w:t xml:space="preserve"> which the UE applies </w:t>
      </w:r>
      <w:r w:rsidR="00505917">
        <w:rPr>
          <w:b/>
          <w:lang w:eastAsia="zh-CN"/>
        </w:rPr>
        <w:t>(</w:t>
      </w:r>
      <w:r w:rsidR="00541BAF">
        <w:rPr>
          <w:b/>
          <w:lang w:eastAsia="zh-CN"/>
        </w:rPr>
        <w:t xml:space="preserve">in case </w:t>
      </w:r>
      <w:r w:rsidR="00B90D68">
        <w:rPr>
          <w:b/>
          <w:lang w:eastAsia="zh-CN"/>
        </w:rPr>
        <w:t>the SPS transmission gets postponed</w:t>
      </w:r>
      <w:r w:rsidR="00505917">
        <w:rPr>
          <w:b/>
          <w:lang w:eastAsia="zh-CN"/>
        </w:rPr>
        <w:t xml:space="preserve">) to offset the SPS transmission to one of the 8 consecutive uplink </w:t>
      </w:r>
      <w:r w:rsidR="00E55229">
        <w:rPr>
          <w:b/>
          <w:lang w:eastAsia="zh-CN"/>
        </w:rPr>
        <w:t>subframes</w:t>
      </w:r>
      <w:r>
        <w:rPr>
          <w:b/>
          <w:lang w:eastAsia="zh-CN"/>
        </w:rPr>
        <w:t>.</w:t>
      </w:r>
      <w:r w:rsidR="008F3EAD">
        <w:rPr>
          <w:b/>
          <w:lang w:eastAsia="zh-CN"/>
        </w:rPr>
        <w:t xml:space="preserve"> The annex provides the TP.</w:t>
      </w:r>
    </w:p>
    <w:p w14:paraId="35F20857" w14:textId="233E7702" w:rsidR="006B5A1E" w:rsidRDefault="00CA2161" w:rsidP="00DC7527">
      <w:pPr>
        <w:pStyle w:val="Heading2"/>
        <w:rPr>
          <w:lang w:eastAsia="zh-CN"/>
        </w:rPr>
      </w:pPr>
      <w:r>
        <w:rPr>
          <w:rFonts w:hint="eastAsia"/>
        </w:rPr>
        <w:t>2.</w:t>
      </w:r>
      <w:r w:rsidR="00881922">
        <w:t>2</w:t>
      </w:r>
      <w:r>
        <w:tab/>
      </w:r>
      <w:r w:rsidR="006B5A1E">
        <w:rPr>
          <w:lang w:eastAsia="zh-CN"/>
        </w:rPr>
        <w:t>RAN1 LS reply on OCC for IoT NTN TDD</w:t>
      </w:r>
      <w:r w:rsidR="00EF0CC7">
        <w:rPr>
          <w:lang w:eastAsia="zh-CN"/>
        </w:rPr>
        <w:t xml:space="preserve"> mode</w:t>
      </w:r>
    </w:p>
    <w:p w14:paraId="101DBB83" w14:textId="45B51675" w:rsidR="00423131" w:rsidRDefault="00BA680C" w:rsidP="00C439C4">
      <w:pPr>
        <w:rPr>
          <w:lang w:eastAsia="zh-CN"/>
        </w:rPr>
      </w:pPr>
      <w:r>
        <w:rPr>
          <w:lang w:eastAsia="zh-CN"/>
        </w:rPr>
        <w:t>At RAN1 #122bis, RAN1 made a reply</w:t>
      </w:r>
      <w:r w:rsidR="000E5B65">
        <w:rPr>
          <w:lang w:eastAsia="zh-CN"/>
        </w:rPr>
        <w:t xml:space="preserve"> (</w:t>
      </w:r>
      <w:r w:rsidR="000E5B65" w:rsidRPr="000E5B65">
        <w:rPr>
          <w:lang w:eastAsia="zh-CN"/>
        </w:rPr>
        <w:t>R1-2508110</w:t>
      </w:r>
      <w:r w:rsidR="000E5B65">
        <w:rPr>
          <w:lang w:eastAsia="zh-CN"/>
        </w:rPr>
        <w:t>)</w:t>
      </w:r>
      <w:r>
        <w:rPr>
          <w:lang w:eastAsia="zh-CN"/>
        </w:rPr>
        <w:t xml:space="preserve"> to RAN2 regarding the use of OCC for IoT NTN TDD</w:t>
      </w:r>
      <w:r w:rsidR="008C40E1">
        <w:rPr>
          <w:lang w:eastAsia="zh-CN"/>
        </w:rPr>
        <w:t xml:space="preserve"> </w:t>
      </w:r>
      <w:r w:rsidR="00EF0CC7">
        <w:rPr>
          <w:lang w:eastAsia="zh-CN"/>
        </w:rPr>
        <w:t xml:space="preserve">mode </w:t>
      </w:r>
      <w:r w:rsidR="008C40E1">
        <w:rPr>
          <w:lang w:eastAsia="zh-CN"/>
        </w:rPr>
        <w:t>as follows:</w:t>
      </w:r>
    </w:p>
    <w:tbl>
      <w:tblPr>
        <w:tblStyle w:val="TableGrid"/>
        <w:tblW w:w="0" w:type="auto"/>
        <w:tblLook w:val="04A0" w:firstRow="1" w:lastRow="0" w:firstColumn="1" w:lastColumn="0" w:noHBand="0" w:noVBand="1"/>
      </w:tblPr>
      <w:tblGrid>
        <w:gridCol w:w="9631"/>
      </w:tblGrid>
      <w:tr w:rsidR="00423131" w14:paraId="48684F57" w14:textId="77777777" w:rsidTr="00423131">
        <w:tc>
          <w:tcPr>
            <w:tcW w:w="9631" w:type="dxa"/>
          </w:tcPr>
          <w:p w14:paraId="1E373E93" w14:textId="4AD56235" w:rsidR="00423131" w:rsidRDefault="00423131" w:rsidP="00C439C4">
            <w:pPr>
              <w:rPr>
                <w:lang w:eastAsia="zh-CN"/>
              </w:rPr>
            </w:pPr>
            <w:r w:rsidRPr="00423131">
              <w:rPr>
                <w:b/>
                <w:bCs/>
                <w:lang w:val="en-US" w:eastAsia="zh-CN"/>
              </w:rPr>
              <w:t xml:space="preserve">Reply to RAN2: </w:t>
            </w:r>
            <w:r w:rsidRPr="00423131">
              <w:rPr>
                <w:lang w:val="en-US" w:eastAsia="zh-CN"/>
              </w:rPr>
              <w:t>From RAN1’s perspective, introducing OCC for NB-IoT NTN TDD mode requires RAN1 specifications change. Therefore, RAN1 cannot confirm RAN2’s assumption “that OCC defined for NB-IoT NTN Rel-19 can be supported for NB-IoT NTN TDD mode without any RAN1 spec impact”.</w:t>
            </w:r>
          </w:p>
        </w:tc>
      </w:tr>
    </w:tbl>
    <w:p w14:paraId="78C5A506" w14:textId="5971ED8E" w:rsidR="00C439C4" w:rsidRDefault="000E5B65" w:rsidP="00C439C4">
      <w:pPr>
        <w:rPr>
          <w:lang w:eastAsia="zh-CN"/>
        </w:rPr>
      </w:pPr>
      <w:r>
        <w:rPr>
          <w:lang w:eastAsia="zh-CN"/>
        </w:rPr>
        <w:t xml:space="preserve">Since both RAN1 and RAN2 are already in the </w:t>
      </w:r>
      <w:r w:rsidR="00C34BC9">
        <w:rPr>
          <w:lang w:eastAsia="zh-CN"/>
        </w:rPr>
        <w:t xml:space="preserve">release 19 </w:t>
      </w:r>
      <w:r>
        <w:rPr>
          <w:lang w:eastAsia="zh-CN"/>
        </w:rPr>
        <w:t>maintenance phase</w:t>
      </w:r>
      <w:r w:rsidR="007A066E">
        <w:rPr>
          <w:lang w:eastAsia="zh-CN"/>
        </w:rPr>
        <w:t xml:space="preserve"> we don’t consider it feasible to request RAN1 specification change to support OCC for IoT NTN TDD</w:t>
      </w:r>
      <w:r w:rsidR="00EF0CC7">
        <w:rPr>
          <w:lang w:eastAsia="zh-CN"/>
        </w:rPr>
        <w:t xml:space="preserve"> mode</w:t>
      </w:r>
      <w:r w:rsidR="007A066E">
        <w:rPr>
          <w:lang w:eastAsia="zh-CN"/>
        </w:rPr>
        <w:t>.</w:t>
      </w:r>
    </w:p>
    <w:p w14:paraId="5152FBCC" w14:textId="794AECB3" w:rsidR="00C34BC9" w:rsidRDefault="00C34BC9" w:rsidP="00C439C4">
      <w:pPr>
        <w:rPr>
          <w:b/>
          <w:bCs/>
          <w:lang w:eastAsia="zh-CN"/>
        </w:rPr>
      </w:pPr>
      <w:r>
        <w:rPr>
          <w:b/>
          <w:bCs/>
          <w:lang w:eastAsia="zh-CN"/>
        </w:rPr>
        <w:t>Proposal</w:t>
      </w:r>
      <w:r w:rsidR="00AA1266">
        <w:rPr>
          <w:b/>
          <w:bCs/>
          <w:lang w:eastAsia="zh-CN"/>
        </w:rPr>
        <w:t xml:space="preserve"> 2</w:t>
      </w:r>
      <w:r>
        <w:rPr>
          <w:b/>
          <w:bCs/>
          <w:lang w:eastAsia="zh-CN"/>
        </w:rPr>
        <w:t>: O</w:t>
      </w:r>
      <w:r w:rsidR="00EF0CC7">
        <w:rPr>
          <w:b/>
          <w:bCs/>
          <w:lang w:eastAsia="zh-CN"/>
        </w:rPr>
        <w:t>rthogonal Cover Codes are not supported for IoT NTN TDD mode.</w:t>
      </w:r>
    </w:p>
    <w:p w14:paraId="20D4E21D" w14:textId="091F9FD2" w:rsidR="00AF4209" w:rsidRDefault="00AF4209" w:rsidP="00AF4209">
      <w:pPr>
        <w:pStyle w:val="Heading2"/>
        <w:rPr>
          <w:lang w:eastAsia="zh-CN"/>
        </w:rPr>
      </w:pPr>
      <w:r>
        <w:rPr>
          <w:rFonts w:hint="eastAsia"/>
        </w:rPr>
        <w:t>2.</w:t>
      </w:r>
      <w:r>
        <w:t>3</w:t>
      </w:r>
      <w:r>
        <w:tab/>
      </w:r>
      <w:r>
        <w:rPr>
          <w:lang w:eastAsia="zh-CN"/>
        </w:rPr>
        <w:t>RIL N022</w:t>
      </w:r>
    </w:p>
    <w:p w14:paraId="0D958389" w14:textId="4FD7EEF1" w:rsidR="00C80773" w:rsidRPr="00556501" w:rsidRDefault="00C80773" w:rsidP="00C80773">
      <w:pPr>
        <w:pStyle w:val="CommentText"/>
        <w:rPr>
          <w:rFonts w:eastAsia="等线"/>
        </w:rPr>
      </w:pPr>
      <w:r>
        <w:rPr>
          <w:rFonts w:eastAsia="等线" w:hint="eastAsia"/>
        </w:rPr>
        <w:t xml:space="preserve">For </w:t>
      </w:r>
      <w:r>
        <w:rPr>
          <w:rFonts w:eastAsia="等线"/>
        </w:rPr>
        <w:t>duration</w:t>
      </w:r>
      <w:r>
        <w:rPr>
          <w:rFonts w:eastAsia="等线" w:hint="eastAsia"/>
        </w:rPr>
        <w:t xml:space="preserve"> of NPUSCH </w:t>
      </w:r>
      <w:r>
        <w:rPr>
          <w:rFonts w:eastAsia="等线"/>
        </w:rPr>
        <w:t>segment</w:t>
      </w:r>
      <w:r>
        <w:rPr>
          <w:rFonts w:eastAsia="等线" w:hint="eastAsia"/>
        </w:rPr>
        <w:t xml:space="preserve"> transmission, RAN1 agreed </w:t>
      </w:r>
      <w:r w:rsidRPr="00A92867">
        <w:rPr>
          <w:rFonts w:eastAsia="等线"/>
        </w:rPr>
        <w:t xml:space="preserve">the 2 and 4 </w:t>
      </w:r>
      <w:proofErr w:type="spellStart"/>
      <w:r w:rsidRPr="00A92867">
        <w:rPr>
          <w:rFonts w:eastAsia="等线"/>
        </w:rPr>
        <w:t>ms</w:t>
      </w:r>
      <w:proofErr w:type="spellEnd"/>
      <w:r w:rsidRPr="00A92867">
        <w:rPr>
          <w:rFonts w:eastAsia="等线"/>
        </w:rPr>
        <w:t xml:space="preserve"> segments are </w:t>
      </w:r>
      <w:r>
        <w:rPr>
          <w:rFonts w:eastAsia="等线"/>
        </w:rPr>
        <w:t>not</w:t>
      </w:r>
      <w:r w:rsidRPr="00A92867">
        <w:rPr>
          <w:rFonts w:eastAsia="等线"/>
        </w:rPr>
        <w:t xml:space="preserve"> applicable to IoT TDD NTN</w:t>
      </w:r>
      <w:r>
        <w:rPr>
          <w:rFonts w:eastAsia="等线" w:hint="eastAsia"/>
        </w:rPr>
        <w:t xml:space="preserve"> other than at the beginning of the </w:t>
      </w:r>
      <w:r>
        <w:rPr>
          <w:rFonts w:eastAsia="等线"/>
        </w:rPr>
        <w:t>transmission</w:t>
      </w:r>
      <w:r>
        <w:rPr>
          <w:rFonts w:eastAsia="等线" w:hint="eastAsia"/>
        </w:rPr>
        <w:t xml:space="preserve">. </w:t>
      </w:r>
      <w:r w:rsidR="00836757">
        <w:rPr>
          <w:rFonts w:eastAsia="等线"/>
        </w:rPr>
        <w:t>In RIL N022, w</w:t>
      </w:r>
      <w:r>
        <w:rPr>
          <w:rFonts w:eastAsia="等线" w:hint="eastAsia"/>
        </w:rPr>
        <w:t xml:space="preserve">e </w:t>
      </w:r>
      <w:r w:rsidR="00836757">
        <w:rPr>
          <w:rFonts w:eastAsia="等线"/>
        </w:rPr>
        <w:t>propose</w:t>
      </w:r>
      <w:r>
        <w:rPr>
          <w:rFonts w:eastAsia="等线" w:hint="eastAsia"/>
        </w:rPr>
        <w:t xml:space="preserve"> to capture that in the field description for </w:t>
      </w:r>
      <w:proofErr w:type="spellStart"/>
      <w:r w:rsidRPr="000F6913">
        <w:rPr>
          <w:rFonts w:eastAsia="等线"/>
          <w:i/>
          <w:iCs/>
        </w:rPr>
        <w:t>npusch-TxDuration</w:t>
      </w:r>
      <w:proofErr w:type="spellEnd"/>
      <w:r w:rsidR="00836757">
        <w:rPr>
          <w:rFonts w:eastAsia="等线"/>
          <w:i/>
          <w:iCs/>
        </w:rPr>
        <w:t>.</w:t>
      </w:r>
    </w:p>
    <w:tbl>
      <w:tblPr>
        <w:tblStyle w:val="TableGrid1"/>
        <w:tblW w:w="10343" w:type="dxa"/>
        <w:tblLayout w:type="fixed"/>
        <w:tblLook w:val="04A0" w:firstRow="1" w:lastRow="0" w:firstColumn="1" w:lastColumn="0" w:noHBand="0" w:noVBand="1"/>
      </w:tblPr>
      <w:tblGrid>
        <w:gridCol w:w="967"/>
        <w:gridCol w:w="948"/>
        <w:gridCol w:w="1068"/>
        <w:gridCol w:w="2797"/>
        <w:gridCol w:w="1161"/>
        <w:gridCol w:w="1559"/>
        <w:gridCol w:w="993"/>
        <w:gridCol w:w="850"/>
      </w:tblGrid>
      <w:tr w:rsidR="00C80773" w14:paraId="30F58B47" w14:textId="77777777" w:rsidTr="00C80773">
        <w:tc>
          <w:tcPr>
            <w:tcW w:w="967" w:type="dxa"/>
          </w:tcPr>
          <w:p w14:paraId="30207AE9" w14:textId="77777777" w:rsidR="00C80773" w:rsidRDefault="00C80773" w:rsidP="00A114C2">
            <w:r>
              <w:t>RIL Id</w:t>
            </w:r>
          </w:p>
        </w:tc>
        <w:tc>
          <w:tcPr>
            <w:tcW w:w="948" w:type="dxa"/>
          </w:tcPr>
          <w:p w14:paraId="69180D6A" w14:textId="77777777" w:rsidR="00C80773" w:rsidRDefault="00C80773" w:rsidP="00A114C2">
            <w:r>
              <w:t>WI</w:t>
            </w:r>
          </w:p>
        </w:tc>
        <w:tc>
          <w:tcPr>
            <w:tcW w:w="1068" w:type="dxa"/>
          </w:tcPr>
          <w:p w14:paraId="5AC7945E" w14:textId="77777777" w:rsidR="00C80773" w:rsidRDefault="00C80773" w:rsidP="00A114C2">
            <w:r>
              <w:t>Class</w:t>
            </w:r>
          </w:p>
        </w:tc>
        <w:tc>
          <w:tcPr>
            <w:tcW w:w="2797" w:type="dxa"/>
          </w:tcPr>
          <w:p w14:paraId="3593B377" w14:textId="77777777" w:rsidR="00C80773" w:rsidRDefault="00C80773" w:rsidP="00A114C2">
            <w:r>
              <w:t>Title</w:t>
            </w:r>
          </w:p>
        </w:tc>
        <w:tc>
          <w:tcPr>
            <w:tcW w:w="1161" w:type="dxa"/>
          </w:tcPr>
          <w:p w14:paraId="7E58A37C" w14:textId="77777777" w:rsidR="00C80773" w:rsidRDefault="00C80773" w:rsidP="00A114C2">
            <w:proofErr w:type="spellStart"/>
            <w:r>
              <w:t>Tdoc</w:t>
            </w:r>
            <w:proofErr w:type="spellEnd"/>
          </w:p>
        </w:tc>
        <w:tc>
          <w:tcPr>
            <w:tcW w:w="1559" w:type="dxa"/>
          </w:tcPr>
          <w:p w14:paraId="2984C249" w14:textId="77777777" w:rsidR="00C80773" w:rsidRDefault="00C80773" w:rsidP="00A114C2">
            <w:r>
              <w:t>Delegate</w:t>
            </w:r>
          </w:p>
        </w:tc>
        <w:tc>
          <w:tcPr>
            <w:tcW w:w="993" w:type="dxa"/>
          </w:tcPr>
          <w:p w14:paraId="651E3645" w14:textId="77777777" w:rsidR="00C80773" w:rsidRDefault="00C80773" w:rsidP="00A114C2">
            <w:r>
              <w:t>Misc</w:t>
            </w:r>
          </w:p>
        </w:tc>
        <w:tc>
          <w:tcPr>
            <w:tcW w:w="850" w:type="dxa"/>
          </w:tcPr>
          <w:p w14:paraId="5314E768" w14:textId="77777777" w:rsidR="00C80773" w:rsidRDefault="00C80773" w:rsidP="00A114C2">
            <w:r>
              <w:t>File version</w:t>
            </w:r>
          </w:p>
        </w:tc>
      </w:tr>
      <w:tr w:rsidR="00C80773" w14:paraId="6437253A" w14:textId="77777777" w:rsidTr="00C80773">
        <w:tc>
          <w:tcPr>
            <w:tcW w:w="967" w:type="dxa"/>
          </w:tcPr>
          <w:p w14:paraId="56ECF86F" w14:textId="77777777" w:rsidR="00C80773" w:rsidRPr="00CF7264" w:rsidRDefault="00C80773" w:rsidP="00A114C2">
            <w:pPr>
              <w:rPr>
                <w:rFonts w:eastAsia="等线"/>
              </w:rPr>
            </w:pPr>
            <w:bookmarkStart w:id="0" w:name="_Hlk210157798"/>
            <w:r>
              <w:rPr>
                <w:rFonts w:eastAsia="等线" w:hint="eastAsia"/>
              </w:rPr>
              <w:t>N022</w:t>
            </w:r>
          </w:p>
        </w:tc>
        <w:tc>
          <w:tcPr>
            <w:tcW w:w="948" w:type="dxa"/>
          </w:tcPr>
          <w:p w14:paraId="5C03ABC4" w14:textId="77777777" w:rsidR="00C80773" w:rsidRDefault="00C80773" w:rsidP="00A114C2">
            <w:proofErr w:type="spellStart"/>
            <w:r>
              <w:t>IoTTDD</w:t>
            </w:r>
            <w:proofErr w:type="spellEnd"/>
          </w:p>
        </w:tc>
        <w:tc>
          <w:tcPr>
            <w:tcW w:w="1068" w:type="dxa"/>
          </w:tcPr>
          <w:p w14:paraId="13E15832" w14:textId="77777777" w:rsidR="00C80773" w:rsidRPr="00556501" w:rsidRDefault="00C80773" w:rsidP="00A114C2">
            <w:pPr>
              <w:rPr>
                <w:rFonts w:eastAsia="等线"/>
              </w:rPr>
            </w:pPr>
          </w:p>
        </w:tc>
        <w:tc>
          <w:tcPr>
            <w:tcW w:w="2797" w:type="dxa"/>
          </w:tcPr>
          <w:p w14:paraId="47012F69" w14:textId="77777777" w:rsidR="00C80773" w:rsidRPr="000B6E3F" w:rsidRDefault="00C80773" w:rsidP="00A114C2">
            <w:pPr>
              <w:pStyle w:val="TAL"/>
              <w:rPr>
                <w:rFonts w:eastAsia="等线"/>
                <w:b/>
                <w:bCs/>
                <w:i/>
                <w:iCs/>
                <w:kern w:val="2"/>
              </w:rPr>
            </w:pPr>
            <w:r>
              <w:rPr>
                <w:rFonts w:eastAsia="等线" w:hint="eastAsia"/>
              </w:rPr>
              <w:t xml:space="preserve">Update the field description for </w:t>
            </w:r>
            <w:proofErr w:type="spellStart"/>
            <w:r>
              <w:rPr>
                <w:b/>
                <w:bCs/>
                <w:i/>
                <w:iCs/>
                <w:kern w:val="2"/>
              </w:rPr>
              <w:t>npusch-TxDuration</w:t>
            </w:r>
            <w:proofErr w:type="spellEnd"/>
            <w:r>
              <w:rPr>
                <w:rFonts w:eastAsia="等线" w:hint="eastAsia"/>
                <w:b/>
                <w:bCs/>
                <w:i/>
                <w:iCs/>
                <w:kern w:val="2"/>
              </w:rPr>
              <w:t xml:space="preserve"> </w:t>
            </w:r>
            <w:r w:rsidRPr="000B6E3F">
              <w:rPr>
                <w:rFonts w:eastAsia="等线" w:hint="eastAsia"/>
                <w:kern w:val="2"/>
              </w:rPr>
              <w:t>to reflect RAN1 agreement</w:t>
            </w:r>
          </w:p>
        </w:tc>
        <w:tc>
          <w:tcPr>
            <w:tcW w:w="1161" w:type="dxa"/>
          </w:tcPr>
          <w:p w14:paraId="1384A04B" w14:textId="77777777" w:rsidR="00C80773" w:rsidRDefault="00C80773" w:rsidP="00A114C2"/>
        </w:tc>
        <w:tc>
          <w:tcPr>
            <w:tcW w:w="1559" w:type="dxa"/>
          </w:tcPr>
          <w:p w14:paraId="62062C38" w14:textId="77777777" w:rsidR="00C80773" w:rsidRPr="00FC61E7" w:rsidRDefault="00C80773" w:rsidP="00A114C2">
            <w:pPr>
              <w:rPr>
                <w:rFonts w:eastAsia="等线"/>
              </w:rPr>
            </w:pPr>
            <w:r>
              <w:rPr>
                <w:rFonts w:eastAsia="等线" w:hint="eastAsia"/>
              </w:rPr>
              <w:t>Nokia (Ping Yuan)</w:t>
            </w:r>
          </w:p>
        </w:tc>
        <w:tc>
          <w:tcPr>
            <w:tcW w:w="993" w:type="dxa"/>
          </w:tcPr>
          <w:p w14:paraId="21DB4B6B" w14:textId="77777777" w:rsidR="00C80773" w:rsidRDefault="00C80773" w:rsidP="00A114C2"/>
        </w:tc>
        <w:tc>
          <w:tcPr>
            <w:tcW w:w="850" w:type="dxa"/>
          </w:tcPr>
          <w:p w14:paraId="74E91100" w14:textId="77777777" w:rsidR="00C80773" w:rsidRPr="00FC61E7" w:rsidRDefault="00C80773" w:rsidP="00A114C2">
            <w:pPr>
              <w:rPr>
                <w:rFonts w:eastAsia="等线"/>
              </w:rPr>
            </w:pPr>
            <w:r>
              <w:t>V</w:t>
            </w:r>
            <w:r>
              <w:rPr>
                <w:rFonts w:eastAsia="等线" w:hint="eastAsia"/>
              </w:rPr>
              <w:t>008</w:t>
            </w:r>
          </w:p>
        </w:tc>
      </w:tr>
      <w:bookmarkEnd w:id="0"/>
    </w:tbl>
    <w:p w14:paraId="688B60A0" w14:textId="77777777" w:rsidR="00C80773" w:rsidRDefault="00C80773" w:rsidP="00AF4209">
      <w:pPr>
        <w:rPr>
          <w:lang w:val="en-US" w:eastAsia="zh-CN"/>
        </w:rPr>
      </w:pPr>
    </w:p>
    <w:p w14:paraId="09605E43" w14:textId="01CFD24E" w:rsidR="00836757" w:rsidRDefault="00836757" w:rsidP="00AF4209">
      <w:pPr>
        <w:rPr>
          <w:lang w:val="en-US" w:eastAsia="zh-CN"/>
        </w:rPr>
      </w:pPr>
      <w:r>
        <w:rPr>
          <w:lang w:val="en-US" w:eastAsia="zh-CN"/>
        </w:rPr>
        <w:t xml:space="preserve">In RAN2-131bis discussion, the RIL N022 was not agreed, as RAN4 has been asked to confirm the RAN1 agreement referenced in LS </w:t>
      </w:r>
      <w:r w:rsidRPr="00836757">
        <w:rPr>
          <w:lang w:val="en-US" w:eastAsia="zh-CN"/>
        </w:rPr>
        <w:t>R2-2507710/ R1-2508064</w:t>
      </w:r>
      <w:r>
        <w:rPr>
          <w:lang w:val="en-US" w:eastAsia="zh-CN"/>
        </w:rPr>
        <w:t>. Consequently, company thinks RAN4’s confirmation is required before the field description can be updated. Therefore, we propose postponing RIL N022 until RAN4’s confirmation is available.</w:t>
      </w:r>
    </w:p>
    <w:p w14:paraId="77BC297D" w14:textId="5873D107" w:rsidR="00DC7527" w:rsidRPr="00836757" w:rsidRDefault="00AF4209" w:rsidP="00C439C4">
      <w:pPr>
        <w:rPr>
          <w:b/>
          <w:bCs/>
          <w:lang w:val="en-US" w:eastAsia="zh-CN"/>
        </w:rPr>
      </w:pPr>
      <w:r>
        <w:rPr>
          <w:b/>
          <w:bCs/>
          <w:lang w:eastAsia="zh-CN"/>
        </w:rPr>
        <w:t xml:space="preserve">Proposal </w:t>
      </w:r>
      <w:r w:rsidR="00836757">
        <w:rPr>
          <w:b/>
          <w:bCs/>
          <w:lang w:eastAsia="zh-CN"/>
        </w:rPr>
        <w:t>3</w:t>
      </w:r>
      <w:r>
        <w:rPr>
          <w:b/>
          <w:bCs/>
          <w:lang w:eastAsia="zh-CN"/>
        </w:rPr>
        <w:t xml:space="preserve">: </w:t>
      </w:r>
      <w:r w:rsidR="00836757">
        <w:rPr>
          <w:b/>
          <w:bCs/>
          <w:lang w:eastAsia="zh-CN"/>
        </w:rPr>
        <w:t>Postpone RIL N022 until RAN4 confirms the RAN1 agreement on segment compensation</w:t>
      </w:r>
      <w:r>
        <w:rPr>
          <w:b/>
          <w:bCs/>
          <w:lang w:eastAsia="zh-CN"/>
        </w:rPr>
        <w:t>.</w:t>
      </w:r>
    </w:p>
    <w:p w14:paraId="16CB5684" w14:textId="77777777" w:rsidR="008B549E" w:rsidRPr="006E13D1" w:rsidRDefault="008B549E" w:rsidP="008B549E">
      <w:pPr>
        <w:pStyle w:val="Heading1"/>
      </w:pPr>
      <w:r>
        <w:t>3</w:t>
      </w:r>
      <w:r w:rsidRPr="006E13D1">
        <w:tab/>
      </w:r>
      <w:r>
        <w:t>Conclusion</w:t>
      </w:r>
    </w:p>
    <w:p w14:paraId="1CC0EEFD" w14:textId="77777777" w:rsidR="009252DE" w:rsidRDefault="009252DE" w:rsidP="009252DE">
      <w:r>
        <w:t>This document has made the following observations and proposals:</w:t>
      </w:r>
    </w:p>
    <w:p w14:paraId="5B5AB579" w14:textId="77777777" w:rsidR="009252DE" w:rsidRPr="007574FA" w:rsidRDefault="009252DE" w:rsidP="009252DE">
      <w:r>
        <w:rPr>
          <w:b/>
          <w:bCs/>
        </w:rPr>
        <w:t>Observation</w:t>
      </w:r>
      <w:r>
        <w:rPr>
          <w:rFonts w:hint="eastAsia"/>
          <w:b/>
          <w:bCs/>
          <w:lang w:eastAsia="zh-CN"/>
        </w:rPr>
        <w:t xml:space="preserve"> </w:t>
      </w:r>
      <w:r>
        <w:rPr>
          <w:b/>
          <w:bCs/>
          <w:lang w:eastAsia="zh-CN"/>
        </w:rPr>
        <w:t>1</w:t>
      </w:r>
      <w:r>
        <w:rPr>
          <w:b/>
          <w:bCs/>
        </w:rPr>
        <w:t xml:space="preserve">: </w:t>
      </w:r>
      <w:r w:rsidRPr="007574FA">
        <w:t>when multiple UEs postpone their SPS resource to the next valid UL subframe there may be collisions</w:t>
      </w:r>
      <w:r w:rsidRPr="007574FA">
        <w:rPr>
          <w:rFonts w:hint="eastAsia"/>
          <w:lang w:eastAsia="zh-CN"/>
        </w:rPr>
        <w:t xml:space="preserve"> between different UEs</w:t>
      </w:r>
      <w:r w:rsidRPr="007574FA">
        <w:t xml:space="preserve">. </w:t>
      </w:r>
    </w:p>
    <w:p w14:paraId="41F0BFA5" w14:textId="77777777" w:rsidR="009252DE" w:rsidRPr="00DC7527" w:rsidRDefault="009252DE" w:rsidP="009252DE">
      <w:pPr>
        <w:rPr>
          <w:b/>
          <w:lang w:eastAsia="zh-CN"/>
        </w:rPr>
      </w:pPr>
      <w:r>
        <w:rPr>
          <w:b/>
          <w:lang w:eastAsia="zh-CN"/>
        </w:rPr>
        <w:t xml:space="preserve">Observation 2: </w:t>
      </w:r>
      <w:r w:rsidRPr="007574FA">
        <w:rPr>
          <w:bCs/>
          <w:lang w:eastAsia="zh-CN"/>
        </w:rPr>
        <w:t xml:space="preserve">For NB-IoT UEs the </w:t>
      </w:r>
      <w:proofErr w:type="spellStart"/>
      <w:r w:rsidRPr="007574FA">
        <w:rPr>
          <w:bCs/>
          <w:i/>
          <w:iCs/>
          <w:lang w:eastAsia="zh-CN"/>
        </w:rPr>
        <w:t>subframestart</w:t>
      </w:r>
      <w:proofErr w:type="spellEnd"/>
      <w:r w:rsidRPr="007574FA">
        <w:rPr>
          <w:bCs/>
          <w:i/>
          <w:iCs/>
          <w:lang w:eastAsia="zh-CN"/>
        </w:rPr>
        <w:t xml:space="preserve"> time </w:t>
      </w:r>
      <w:r w:rsidRPr="007574FA">
        <w:rPr>
          <w:bCs/>
          <w:lang w:eastAsia="zh-CN"/>
        </w:rPr>
        <w:t xml:space="preserve">refers to the first transmission of the NPUSCH and a 90 </w:t>
      </w:r>
      <w:proofErr w:type="spellStart"/>
      <w:r w:rsidRPr="007574FA">
        <w:rPr>
          <w:bCs/>
          <w:lang w:eastAsia="zh-CN"/>
        </w:rPr>
        <w:t>ms</w:t>
      </w:r>
      <w:proofErr w:type="spellEnd"/>
      <w:r w:rsidRPr="007574FA">
        <w:rPr>
          <w:bCs/>
          <w:lang w:eastAsia="zh-CN"/>
        </w:rPr>
        <w:t xml:space="preserve"> SPS periodicity will therefore not resolve collisions on its own.</w:t>
      </w:r>
    </w:p>
    <w:p w14:paraId="4BF4F655" w14:textId="77777777" w:rsidR="009252DE" w:rsidRPr="007574FA" w:rsidRDefault="009252DE" w:rsidP="009252DE">
      <w:pPr>
        <w:rPr>
          <w:bCs/>
          <w:lang w:eastAsia="zh-CN"/>
        </w:rPr>
      </w:pPr>
      <w:r>
        <w:rPr>
          <w:b/>
          <w:lang w:eastAsia="zh-CN"/>
        </w:rPr>
        <w:t>Proposal</w:t>
      </w:r>
      <w:r>
        <w:rPr>
          <w:rFonts w:hint="eastAsia"/>
          <w:b/>
          <w:lang w:eastAsia="zh-CN"/>
        </w:rPr>
        <w:t xml:space="preserve"> </w:t>
      </w:r>
      <w:r>
        <w:rPr>
          <w:b/>
          <w:lang w:eastAsia="zh-CN"/>
        </w:rPr>
        <w:t xml:space="preserve">1: </w:t>
      </w:r>
      <w:r w:rsidRPr="007574FA">
        <w:rPr>
          <w:bCs/>
          <w:lang w:eastAsia="zh-CN"/>
        </w:rPr>
        <w:t>RAN2 to define a SPS postponement offset which the UE applies (in case the SPS transmission gets postponed) to offset the SPS transmission to one of the 8 consecutive uplink subframes. The annex provides the TP.</w:t>
      </w:r>
    </w:p>
    <w:p w14:paraId="0F9AE91B" w14:textId="77777777" w:rsidR="009252DE" w:rsidRPr="007574FA" w:rsidRDefault="009252DE" w:rsidP="009252DE">
      <w:pPr>
        <w:rPr>
          <w:lang w:eastAsia="zh-CN"/>
        </w:rPr>
      </w:pPr>
      <w:r>
        <w:rPr>
          <w:b/>
          <w:bCs/>
          <w:lang w:eastAsia="zh-CN"/>
        </w:rPr>
        <w:t xml:space="preserve">Proposal 2: </w:t>
      </w:r>
      <w:r w:rsidRPr="007574FA">
        <w:rPr>
          <w:lang w:eastAsia="zh-CN"/>
        </w:rPr>
        <w:t>Orthogonal Cover Codes are not supported for IoT NTN TDD mode.</w:t>
      </w:r>
    </w:p>
    <w:p w14:paraId="31C8CD59" w14:textId="65D06C4A" w:rsidR="009252DE" w:rsidRPr="007574FA" w:rsidRDefault="009252DE" w:rsidP="008B549E">
      <w:pPr>
        <w:rPr>
          <w:lang w:val="en-US" w:eastAsia="zh-CN"/>
        </w:rPr>
      </w:pPr>
      <w:r>
        <w:rPr>
          <w:b/>
          <w:bCs/>
          <w:lang w:eastAsia="zh-CN"/>
        </w:rPr>
        <w:t xml:space="preserve">Proposal 3: </w:t>
      </w:r>
      <w:r w:rsidRPr="007574FA">
        <w:rPr>
          <w:lang w:eastAsia="zh-CN"/>
        </w:rPr>
        <w:t>Postpone RIL N022 until RAN4 confirms the RAN1 agreement on segment compensation.</w:t>
      </w:r>
    </w:p>
    <w:p w14:paraId="5981D961" w14:textId="5C470E17" w:rsidR="008B549E" w:rsidRDefault="00B22275" w:rsidP="00B22275">
      <w:pPr>
        <w:pStyle w:val="Heading1"/>
      </w:pPr>
      <w:r>
        <w:t>Reference</w:t>
      </w:r>
    </w:p>
    <w:p w14:paraId="3AF0D180" w14:textId="37ACB803" w:rsidR="009252DE" w:rsidRPr="009252DE" w:rsidRDefault="009252DE" w:rsidP="009252DE">
      <w:r w:rsidRPr="009252DE">
        <w:t xml:space="preserve">[1] RP-243293, </w:t>
      </w:r>
      <w:proofErr w:type="spellStart"/>
      <w:r w:rsidRPr="009252DE">
        <w:t>Iridum</w:t>
      </w:r>
      <w:proofErr w:type="spellEnd"/>
      <w:r w:rsidRPr="009252DE">
        <w:t>, “Revised WID on introduction of IoT-NTN TDD mode”, December 2024</w:t>
      </w:r>
    </w:p>
    <w:p w14:paraId="22BAC15E" w14:textId="095EC342" w:rsidR="00401B41" w:rsidRDefault="00401B41" w:rsidP="00DC7527">
      <w:pPr>
        <w:pStyle w:val="Heading1"/>
      </w:pPr>
      <w:r>
        <w:rPr>
          <w:rFonts w:hint="eastAsia"/>
        </w:rPr>
        <w:lastRenderedPageBreak/>
        <w:t xml:space="preserve">Annex: TP to </w:t>
      </w:r>
      <w:r w:rsidR="00E11C93">
        <w:rPr>
          <w:rFonts w:hint="eastAsia"/>
        </w:rPr>
        <w:t>36.3</w:t>
      </w:r>
      <w:r w:rsidR="00E83C11">
        <w:t>21</w:t>
      </w:r>
    </w:p>
    <w:tbl>
      <w:tblPr>
        <w:tblStyle w:val="TableGrid"/>
        <w:tblW w:w="0" w:type="auto"/>
        <w:tblLook w:val="04A0" w:firstRow="1" w:lastRow="0" w:firstColumn="1" w:lastColumn="0" w:noHBand="0" w:noVBand="1"/>
      </w:tblPr>
      <w:tblGrid>
        <w:gridCol w:w="9631"/>
      </w:tblGrid>
      <w:tr w:rsidR="00E261CF" w14:paraId="034A7C04" w14:textId="77777777">
        <w:tc>
          <w:tcPr>
            <w:tcW w:w="9631" w:type="dxa"/>
          </w:tcPr>
          <w:p w14:paraId="3EDA3EA7" w14:textId="77777777" w:rsidR="00E83C11" w:rsidRPr="00E83C11" w:rsidRDefault="00E83C11" w:rsidP="00E83C11">
            <w:pPr>
              <w:keepNext/>
              <w:keepLines/>
              <w:overflowPunct w:val="0"/>
              <w:autoSpaceDE w:val="0"/>
              <w:autoSpaceDN w:val="0"/>
              <w:adjustRightInd w:val="0"/>
              <w:spacing w:before="120"/>
              <w:ind w:left="1134" w:hanging="1134"/>
              <w:outlineLvl w:val="2"/>
              <w:rPr>
                <w:rFonts w:ascii="Arial" w:eastAsia="Times New Roman" w:hAnsi="Arial"/>
                <w:noProof/>
                <w:sz w:val="28"/>
                <w:lang w:eastAsia="zh-CN"/>
              </w:rPr>
            </w:pPr>
            <w:bookmarkStart w:id="1" w:name="_Toc29242983"/>
            <w:bookmarkStart w:id="2" w:name="_Toc37256244"/>
            <w:bookmarkStart w:id="3" w:name="_Toc37256398"/>
            <w:bookmarkStart w:id="4" w:name="_Toc46500337"/>
            <w:bookmarkStart w:id="5" w:name="_Toc52536246"/>
            <w:bookmarkStart w:id="6" w:name="_Toc210940703"/>
            <w:r w:rsidRPr="00E83C11">
              <w:rPr>
                <w:rFonts w:ascii="Arial" w:eastAsia="Times New Roman" w:hAnsi="Arial"/>
                <w:noProof/>
                <w:sz w:val="28"/>
                <w:lang w:eastAsia="zh-CN"/>
              </w:rPr>
              <w:t>5.10.2</w:t>
            </w:r>
            <w:r w:rsidRPr="00E83C11">
              <w:rPr>
                <w:rFonts w:ascii="Arial" w:eastAsia="Times New Roman" w:hAnsi="Arial"/>
                <w:noProof/>
                <w:sz w:val="28"/>
                <w:szCs w:val="24"/>
                <w:lang w:eastAsia="zh-CN"/>
              </w:rPr>
              <w:tab/>
            </w:r>
            <w:r w:rsidRPr="00E83C11">
              <w:rPr>
                <w:rFonts w:ascii="Arial" w:eastAsia="Times New Roman" w:hAnsi="Arial"/>
                <w:noProof/>
                <w:sz w:val="28"/>
                <w:lang w:eastAsia="zh-CN"/>
              </w:rPr>
              <w:t>Uplink</w:t>
            </w:r>
            <w:bookmarkEnd w:id="1"/>
            <w:bookmarkEnd w:id="2"/>
            <w:bookmarkEnd w:id="3"/>
            <w:bookmarkEnd w:id="4"/>
            <w:bookmarkEnd w:id="5"/>
            <w:bookmarkEnd w:id="6"/>
          </w:p>
          <w:p w14:paraId="55A25E7D" w14:textId="77777777" w:rsidR="00E83C11" w:rsidRPr="00E83C11" w:rsidRDefault="00E83C11" w:rsidP="00E83C11">
            <w:pPr>
              <w:overflowPunct w:val="0"/>
              <w:autoSpaceDE w:val="0"/>
              <w:autoSpaceDN w:val="0"/>
              <w:adjustRightInd w:val="0"/>
              <w:rPr>
                <w:rFonts w:eastAsia="Times New Roman"/>
                <w:noProof/>
                <w:lang w:eastAsia="zh-CN"/>
              </w:rPr>
            </w:pPr>
            <w:r w:rsidRPr="00E83C11">
              <w:rPr>
                <w:rFonts w:eastAsia="Times New Roman"/>
                <w:noProof/>
                <w:lang w:eastAsia="zh-CN"/>
              </w:rPr>
              <w:t>After a Semi-Persistent Scheduling uplink grant is configured, the MAC entity shall:</w:t>
            </w:r>
          </w:p>
          <w:p w14:paraId="510FC8BC" w14:textId="77777777" w:rsidR="00E83C11" w:rsidRPr="00E83C11" w:rsidRDefault="00E83C11" w:rsidP="00E83C11">
            <w:pPr>
              <w:overflowPunct w:val="0"/>
              <w:autoSpaceDE w:val="0"/>
              <w:autoSpaceDN w:val="0"/>
              <w:adjustRightInd w:val="0"/>
              <w:ind w:left="568" w:hanging="284"/>
              <w:rPr>
                <w:rFonts w:eastAsia="Times New Roman"/>
                <w:noProof/>
                <w:lang w:eastAsia="zh-CN"/>
              </w:rPr>
            </w:pPr>
            <w:r w:rsidRPr="00E83C11">
              <w:rPr>
                <w:rFonts w:eastAsia="Times New Roman"/>
                <w:noProof/>
                <w:lang w:eastAsia="zh-CN"/>
              </w:rPr>
              <w:t>-</w:t>
            </w:r>
            <w:r w:rsidRPr="00E83C11">
              <w:rPr>
                <w:rFonts w:eastAsia="Times New Roman"/>
                <w:noProof/>
                <w:lang w:eastAsia="zh-CN"/>
              </w:rPr>
              <w:tab/>
              <w:t xml:space="preserve">if </w:t>
            </w:r>
            <w:r w:rsidRPr="00E83C11">
              <w:rPr>
                <w:rFonts w:eastAsia="Times New Roman"/>
                <w:i/>
                <w:noProof/>
                <w:lang w:eastAsia="zh-CN"/>
              </w:rPr>
              <w:t>twoIntervalsConfig</w:t>
            </w:r>
            <w:r w:rsidRPr="00E83C11">
              <w:rPr>
                <w:rFonts w:eastAsia="Times New Roman"/>
                <w:noProof/>
                <w:lang w:eastAsia="zh-CN"/>
              </w:rPr>
              <w:t xml:space="preserve"> is enabled by upper layer:</w:t>
            </w:r>
          </w:p>
          <w:p w14:paraId="6594C0A4" w14:textId="77777777" w:rsidR="00E83C11" w:rsidRPr="00E83C11" w:rsidRDefault="00E83C11" w:rsidP="00E83C11">
            <w:pPr>
              <w:overflowPunct w:val="0"/>
              <w:autoSpaceDE w:val="0"/>
              <w:autoSpaceDN w:val="0"/>
              <w:adjustRightInd w:val="0"/>
              <w:ind w:left="851" w:hanging="284"/>
              <w:rPr>
                <w:rFonts w:eastAsia="Times New Roman"/>
                <w:noProof/>
                <w:lang w:eastAsia="zh-CN"/>
              </w:rPr>
            </w:pPr>
            <w:r w:rsidRPr="00E83C11">
              <w:rPr>
                <w:rFonts w:eastAsia="Times New Roman"/>
                <w:noProof/>
                <w:lang w:eastAsia="zh-CN"/>
              </w:rPr>
              <w:t>-</w:t>
            </w:r>
            <w:r w:rsidRPr="00E83C11">
              <w:rPr>
                <w:rFonts w:eastAsia="Times New Roman"/>
                <w:noProof/>
                <w:lang w:eastAsia="zh-CN"/>
              </w:rPr>
              <w:tab/>
              <w:t>set the Subframe_Offset according to Table 7.4-1.</w:t>
            </w:r>
          </w:p>
          <w:p w14:paraId="16AF4672" w14:textId="77777777" w:rsidR="00E83C11" w:rsidRPr="00E83C11" w:rsidRDefault="00E83C11" w:rsidP="00E83C11">
            <w:pPr>
              <w:overflowPunct w:val="0"/>
              <w:autoSpaceDE w:val="0"/>
              <w:autoSpaceDN w:val="0"/>
              <w:adjustRightInd w:val="0"/>
              <w:ind w:left="568" w:hanging="284"/>
              <w:rPr>
                <w:rFonts w:eastAsia="Times New Roman"/>
                <w:noProof/>
                <w:lang w:eastAsia="zh-CN"/>
              </w:rPr>
            </w:pPr>
            <w:r w:rsidRPr="00E83C11">
              <w:rPr>
                <w:rFonts w:eastAsia="Times New Roman"/>
                <w:lang w:eastAsia="zh-CN"/>
              </w:rPr>
              <w:t>-</w:t>
            </w:r>
            <w:r w:rsidRPr="00E83C11">
              <w:rPr>
                <w:rFonts w:eastAsia="Times New Roman"/>
                <w:lang w:eastAsia="zh-CN"/>
              </w:rPr>
              <w:tab/>
              <w:t>else:</w:t>
            </w:r>
          </w:p>
          <w:p w14:paraId="5D2E4859" w14:textId="77777777" w:rsidR="00E83C11" w:rsidRPr="00E83C11" w:rsidRDefault="00E83C11" w:rsidP="00E83C11">
            <w:pPr>
              <w:overflowPunct w:val="0"/>
              <w:autoSpaceDE w:val="0"/>
              <w:autoSpaceDN w:val="0"/>
              <w:adjustRightInd w:val="0"/>
              <w:ind w:left="851" w:hanging="284"/>
              <w:rPr>
                <w:rFonts w:eastAsia="Times New Roman"/>
                <w:noProof/>
                <w:lang w:eastAsia="zh-CN"/>
              </w:rPr>
            </w:pPr>
            <w:r w:rsidRPr="00E83C11">
              <w:rPr>
                <w:rFonts w:eastAsia="Times New Roman"/>
                <w:noProof/>
                <w:lang w:eastAsia="zh-CN"/>
              </w:rPr>
              <w:t>-</w:t>
            </w:r>
            <w:r w:rsidRPr="00E83C11">
              <w:rPr>
                <w:rFonts w:eastAsia="Times New Roman"/>
                <w:noProof/>
                <w:lang w:eastAsia="zh-CN"/>
              </w:rPr>
              <w:tab/>
              <w:t>set Subframe_Offset to 0.</w:t>
            </w:r>
          </w:p>
          <w:p w14:paraId="539A5C5E" w14:textId="77777777" w:rsidR="00E83C11" w:rsidRPr="00E83C11" w:rsidRDefault="00E83C11" w:rsidP="00E83C11">
            <w:pPr>
              <w:overflowPunct w:val="0"/>
              <w:autoSpaceDE w:val="0"/>
              <w:autoSpaceDN w:val="0"/>
              <w:adjustRightInd w:val="0"/>
              <w:ind w:left="568" w:hanging="284"/>
              <w:rPr>
                <w:rFonts w:eastAsia="Times New Roman"/>
                <w:noProof/>
                <w:lang w:eastAsia="zh-CN"/>
              </w:rPr>
            </w:pPr>
            <w:r w:rsidRPr="00E83C11">
              <w:rPr>
                <w:rFonts w:eastAsia="Times New Roman"/>
                <w:noProof/>
                <w:lang w:eastAsia="zh-CN"/>
              </w:rPr>
              <w:t>-</w:t>
            </w:r>
            <w:r w:rsidRPr="00E83C11">
              <w:rPr>
                <w:rFonts w:eastAsia="Times New Roman"/>
                <w:noProof/>
                <w:lang w:eastAsia="zh-CN"/>
              </w:rPr>
              <w:tab/>
              <w:t>consider sequentially that the N</w:t>
            </w:r>
            <w:r w:rsidRPr="00E83C11">
              <w:rPr>
                <w:rFonts w:eastAsia="Times New Roman"/>
                <w:noProof/>
                <w:vertAlign w:val="superscript"/>
                <w:lang w:eastAsia="zh-CN"/>
              </w:rPr>
              <w:t>th</w:t>
            </w:r>
            <w:r w:rsidRPr="00E83C11">
              <w:rPr>
                <w:rFonts w:eastAsia="Times New Roman"/>
                <w:noProof/>
                <w:lang w:eastAsia="zh-CN"/>
              </w:rPr>
              <w:t xml:space="preserve"> grant occurs in the TTI for which:</w:t>
            </w:r>
          </w:p>
          <w:p w14:paraId="63D65A69" w14:textId="77777777" w:rsidR="00E83C11" w:rsidRPr="00E83C11" w:rsidRDefault="00E83C11" w:rsidP="00E83C11">
            <w:pPr>
              <w:overflowPunct w:val="0"/>
              <w:autoSpaceDE w:val="0"/>
              <w:autoSpaceDN w:val="0"/>
              <w:adjustRightInd w:val="0"/>
              <w:ind w:left="851" w:hanging="284"/>
              <w:rPr>
                <w:rFonts w:eastAsia="Times New Roman"/>
                <w:noProof/>
                <w:lang w:eastAsia="zh-CN"/>
              </w:rPr>
            </w:pPr>
            <w:r w:rsidRPr="00E83C11">
              <w:rPr>
                <w:rFonts w:eastAsia="Times New Roman"/>
                <w:noProof/>
                <w:lang w:eastAsia="zh-CN"/>
              </w:rPr>
              <w:t>-</w:t>
            </w:r>
            <w:r w:rsidRPr="00E83C11">
              <w:rPr>
                <w:rFonts w:eastAsia="Times New Roman"/>
                <w:noProof/>
                <w:lang w:eastAsia="zh-CN"/>
              </w:rPr>
              <w:tab/>
              <w:t>subframe SPS is used:</w:t>
            </w:r>
          </w:p>
          <w:p w14:paraId="31576D4D" w14:textId="77777777" w:rsidR="00E83C11" w:rsidRPr="00E83C11" w:rsidRDefault="00E83C11" w:rsidP="00E83C11">
            <w:pPr>
              <w:overflowPunct w:val="0"/>
              <w:autoSpaceDE w:val="0"/>
              <w:autoSpaceDN w:val="0"/>
              <w:adjustRightInd w:val="0"/>
              <w:ind w:left="1135" w:hanging="284"/>
              <w:rPr>
                <w:rFonts w:eastAsia="Times New Roman"/>
                <w:noProof/>
                <w:lang w:eastAsia="zh-CN"/>
              </w:rPr>
            </w:pPr>
            <w:r w:rsidRPr="00E83C11">
              <w:rPr>
                <w:rFonts w:eastAsia="Times New Roman"/>
                <w:noProof/>
                <w:lang w:eastAsia="zh-CN"/>
              </w:rPr>
              <w:t>-</w:t>
            </w:r>
            <w:r w:rsidRPr="00E83C11">
              <w:rPr>
                <w:rFonts w:eastAsia="Times New Roman"/>
                <w:noProof/>
                <w:lang w:eastAsia="zh-CN"/>
              </w:rPr>
              <w:tab/>
              <w:t>(10 * SFN + subframe) = [(10 * SFN</w:t>
            </w:r>
            <w:r w:rsidRPr="00E83C11">
              <w:rPr>
                <w:rFonts w:eastAsia="Times New Roman"/>
                <w:noProof/>
                <w:vertAlign w:val="subscript"/>
                <w:lang w:eastAsia="zh-CN"/>
              </w:rPr>
              <w:t>start time</w:t>
            </w:r>
            <w:r w:rsidRPr="00E83C11">
              <w:rPr>
                <w:rFonts w:eastAsia="Times New Roman"/>
                <w:noProof/>
                <w:lang w:eastAsia="zh-CN"/>
              </w:rPr>
              <w:t xml:space="preserve"> + subframe</w:t>
            </w:r>
            <w:r w:rsidRPr="00E83C11">
              <w:rPr>
                <w:rFonts w:eastAsia="Times New Roman"/>
                <w:noProof/>
                <w:vertAlign w:val="subscript"/>
                <w:lang w:eastAsia="zh-CN"/>
              </w:rPr>
              <w:t>start time</w:t>
            </w:r>
            <w:r w:rsidRPr="00E83C11">
              <w:rPr>
                <w:rFonts w:eastAsia="Times New Roman"/>
                <w:noProof/>
                <w:lang w:eastAsia="zh-CN"/>
              </w:rPr>
              <w:t xml:space="preserve">) + N * </w:t>
            </w:r>
            <w:r w:rsidRPr="00E83C11">
              <w:rPr>
                <w:rFonts w:eastAsia="Times New Roman"/>
                <w:i/>
                <w:noProof/>
                <w:lang w:eastAsia="zh-CN"/>
              </w:rPr>
              <w:t>semiPersistSchedIntervalUL</w:t>
            </w:r>
            <w:r w:rsidRPr="00E83C11">
              <w:rPr>
                <w:rFonts w:eastAsia="Times New Roman"/>
                <w:noProof/>
                <w:lang w:eastAsia="zh-CN"/>
              </w:rPr>
              <w:t xml:space="preserve"> + Subframe_Offset * (N modulo 2)] modulo 10240.</w:t>
            </w:r>
          </w:p>
          <w:p w14:paraId="0208DFD2" w14:textId="77777777" w:rsidR="00E83C11" w:rsidRPr="00E83C11" w:rsidRDefault="00E83C11" w:rsidP="00E83C11">
            <w:pPr>
              <w:overflowPunct w:val="0"/>
              <w:autoSpaceDE w:val="0"/>
              <w:autoSpaceDN w:val="0"/>
              <w:adjustRightInd w:val="0"/>
              <w:ind w:left="851" w:hanging="284"/>
              <w:rPr>
                <w:rFonts w:eastAsia="Times New Roman"/>
                <w:noProof/>
                <w:lang w:eastAsia="zh-CN"/>
              </w:rPr>
            </w:pPr>
            <w:r w:rsidRPr="00E83C11">
              <w:rPr>
                <w:rFonts w:eastAsia="Times New Roman"/>
                <w:noProof/>
                <w:lang w:eastAsia="zh-CN"/>
              </w:rPr>
              <w:t>-</w:t>
            </w:r>
            <w:r w:rsidRPr="00E83C11">
              <w:rPr>
                <w:rFonts w:eastAsia="Times New Roman"/>
                <w:noProof/>
                <w:lang w:eastAsia="zh-CN"/>
              </w:rPr>
              <w:tab/>
              <w:t>slot or subslot SPS is used:</w:t>
            </w:r>
          </w:p>
          <w:p w14:paraId="297F1B49" w14:textId="77777777" w:rsidR="00E83C11" w:rsidRPr="00E83C11" w:rsidRDefault="00E83C11" w:rsidP="00E83C11">
            <w:pPr>
              <w:overflowPunct w:val="0"/>
              <w:autoSpaceDE w:val="0"/>
              <w:autoSpaceDN w:val="0"/>
              <w:adjustRightInd w:val="0"/>
              <w:ind w:left="1135" w:hanging="284"/>
              <w:rPr>
                <w:rFonts w:eastAsia="Times New Roman"/>
                <w:i/>
                <w:noProof/>
                <w:lang w:eastAsia="zh-CN"/>
              </w:rPr>
            </w:pPr>
            <w:r w:rsidRPr="00E83C11">
              <w:rPr>
                <w:rFonts w:eastAsia="Times New Roman"/>
                <w:noProof/>
                <w:lang w:eastAsia="zh-CN"/>
              </w:rPr>
              <w:t>-</w:t>
            </w:r>
            <w:r w:rsidRPr="00E83C11">
              <w:rPr>
                <w:rFonts w:eastAsia="Times New Roman"/>
                <w:noProof/>
                <w:lang w:eastAsia="zh-CN"/>
              </w:rPr>
              <w:tab/>
              <w:t>(10 * SFN * sTTI_Number_Per_Subframe + subframe * sTTI_Number_Per_Subframe + sTTI_number) = [(10 * SFN</w:t>
            </w:r>
            <w:r w:rsidRPr="00E83C11">
              <w:rPr>
                <w:rFonts w:eastAsia="Times New Roman"/>
                <w:noProof/>
                <w:vertAlign w:val="subscript"/>
                <w:lang w:eastAsia="zh-CN"/>
              </w:rPr>
              <w:t>start time</w:t>
            </w:r>
            <w:r w:rsidRPr="00E83C11">
              <w:rPr>
                <w:rFonts w:eastAsia="Times New Roman"/>
                <w:noProof/>
                <w:lang w:eastAsia="zh-CN"/>
              </w:rPr>
              <w:t xml:space="preserve"> * sTTI_Number_Per_Subframe + subframe</w:t>
            </w:r>
            <w:r w:rsidRPr="00E83C11">
              <w:rPr>
                <w:rFonts w:eastAsia="Times New Roman"/>
                <w:noProof/>
                <w:vertAlign w:val="subscript"/>
                <w:lang w:eastAsia="zh-CN"/>
              </w:rPr>
              <w:t>start time</w:t>
            </w:r>
            <w:r w:rsidRPr="00E83C11">
              <w:rPr>
                <w:rFonts w:eastAsia="Times New Roman"/>
                <w:noProof/>
                <w:lang w:eastAsia="zh-CN"/>
              </w:rPr>
              <w:t xml:space="preserve"> * sTTI_Number_Per_Subframe + </w:t>
            </w:r>
            <w:proofErr w:type="spellStart"/>
            <w:r w:rsidRPr="00E83C11">
              <w:rPr>
                <w:rFonts w:eastAsia="Times New Roman"/>
                <w:i/>
                <w:lang w:eastAsia="zh-CN"/>
              </w:rPr>
              <w:t>sTTIStartTimeUl</w:t>
            </w:r>
            <w:proofErr w:type="spellEnd"/>
            <w:r w:rsidRPr="00E83C11">
              <w:rPr>
                <w:rFonts w:eastAsia="Times New Roman"/>
                <w:noProof/>
                <w:lang w:eastAsia="zh-CN"/>
              </w:rPr>
              <w:t>) + N *</w:t>
            </w:r>
            <w:r w:rsidRPr="00E83C11">
              <w:rPr>
                <w:rFonts w:eastAsia="Times New Roman"/>
                <w:i/>
                <w:noProof/>
                <w:lang w:eastAsia="zh-CN"/>
              </w:rPr>
              <w:t xml:space="preserve"> semiPersistSchedIntervalUL-sTTI</w:t>
            </w:r>
            <w:r w:rsidRPr="00E83C11">
              <w:rPr>
                <w:rFonts w:eastAsia="Times New Roman"/>
                <w:noProof/>
                <w:lang w:eastAsia="zh-CN"/>
              </w:rPr>
              <w:t>+ Subframe_Offset * (N modulo 2) * sTTI_Number_Per_Subframe] modulo (10240 * sTTI_Number_Per_Subframe).</w:t>
            </w:r>
          </w:p>
          <w:p w14:paraId="0C468881" w14:textId="77777777" w:rsidR="00E83C11" w:rsidRPr="00E83C11" w:rsidRDefault="00E83C11" w:rsidP="00E83C11">
            <w:pPr>
              <w:overflowPunct w:val="0"/>
              <w:autoSpaceDE w:val="0"/>
              <w:autoSpaceDN w:val="0"/>
              <w:adjustRightInd w:val="0"/>
              <w:rPr>
                <w:rFonts w:eastAsia="Times New Roman"/>
                <w:noProof/>
                <w:lang w:eastAsia="zh-CN"/>
              </w:rPr>
            </w:pPr>
            <w:r w:rsidRPr="00E83C11">
              <w:rPr>
                <w:rFonts w:eastAsia="Times New Roman"/>
                <w:noProof/>
                <w:lang w:eastAsia="zh-CN"/>
              </w:rPr>
              <w:t>Where SFN</w:t>
            </w:r>
            <w:r w:rsidRPr="00E83C11">
              <w:rPr>
                <w:rFonts w:eastAsia="Times New Roman"/>
                <w:noProof/>
                <w:vertAlign w:val="subscript"/>
                <w:lang w:eastAsia="zh-CN"/>
              </w:rPr>
              <w:t>start time</w:t>
            </w:r>
            <w:r w:rsidRPr="00E83C11">
              <w:rPr>
                <w:rFonts w:eastAsia="Times New Roman"/>
                <w:noProof/>
                <w:lang w:eastAsia="zh-CN"/>
              </w:rPr>
              <w:t>, subframe</w:t>
            </w:r>
            <w:r w:rsidRPr="00E83C11">
              <w:rPr>
                <w:rFonts w:eastAsia="Times New Roman"/>
                <w:noProof/>
                <w:vertAlign w:val="subscript"/>
                <w:lang w:eastAsia="zh-CN"/>
              </w:rPr>
              <w:t>start time</w:t>
            </w:r>
            <w:r w:rsidRPr="00E83C11">
              <w:rPr>
                <w:rFonts w:eastAsia="Times New Roman"/>
                <w:noProof/>
                <w:lang w:eastAsia="zh-CN"/>
              </w:rPr>
              <w:t xml:space="preserve"> and </w:t>
            </w:r>
            <w:r w:rsidRPr="00E83C11">
              <w:rPr>
                <w:rFonts w:eastAsia="Times New Roman"/>
                <w:i/>
                <w:noProof/>
                <w:lang w:eastAsia="zh-CN"/>
              </w:rPr>
              <w:t>sTTIStartTimeUl</w:t>
            </w:r>
            <w:r w:rsidRPr="00E83C11">
              <w:rPr>
                <w:rFonts w:eastAsia="Times New Roman"/>
                <w:noProof/>
                <w:lang w:eastAsia="zh-CN"/>
              </w:rPr>
              <w:t xml:space="preserve"> are the SFN, subframe and sTTI_number, respectively, at the time the configured uplink grant were (re-)initialised. The sTTI_Number_Per_Subframe is 6 when subslot TTI is configued and 2 when slot TTI is configured for short TTI operation. sTTI_number refers to the index of the short TTI, i.e., index of subslot or slot within the subframe.</w:t>
            </w:r>
          </w:p>
          <w:p w14:paraId="08EF8433" w14:textId="77777777" w:rsidR="00E83C11" w:rsidRPr="00E83C11" w:rsidRDefault="00E83C11" w:rsidP="00E83C11">
            <w:pPr>
              <w:overflowPunct w:val="0"/>
              <w:autoSpaceDE w:val="0"/>
              <w:autoSpaceDN w:val="0"/>
              <w:adjustRightInd w:val="0"/>
              <w:rPr>
                <w:rFonts w:eastAsia="Times New Roman"/>
                <w:noProof/>
                <w:lang w:eastAsia="zh-CN"/>
              </w:rPr>
            </w:pPr>
            <w:r w:rsidRPr="00E83C11">
              <w:rPr>
                <w:rFonts w:eastAsia="Times New Roman"/>
                <w:noProof/>
                <w:lang w:eastAsia="zh-CN"/>
              </w:rPr>
              <w:t xml:space="preserve">Except for NB-IoT, for TDD, the MAC entity is configured with </w:t>
            </w:r>
            <w:r w:rsidRPr="00E83C11">
              <w:rPr>
                <w:rFonts w:eastAsia="Times New Roman"/>
                <w:i/>
                <w:iCs/>
                <w:noProof/>
                <w:lang w:eastAsia="zh-CN"/>
              </w:rPr>
              <w:t>semiPersistSchedIntervalUL</w:t>
            </w:r>
            <w:r w:rsidRPr="00E83C11">
              <w:rPr>
                <w:rFonts w:eastAsia="Times New Roman"/>
                <w:noProof/>
                <w:lang w:eastAsia="zh-CN"/>
              </w:rPr>
              <w:t xml:space="preserve"> shorter than 10 subframes, the N</w:t>
            </w:r>
            <w:r w:rsidRPr="00E83C11">
              <w:rPr>
                <w:rFonts w:eastAsia="Times New Roman"/>
                <w:noProof/>
                <w:vertAlign w:val="superscript"/>
                <w:lang w:eastAsia="zh-CN"/>
              </w:rPr>
              <w:t>th</w:t>
            </w:r>
            <w:r w:rsidRPr="00E83C11">
              <w:rPr>
                <w:rFonts w:eastAsia="Times New Roman"/>
                <w:noProof/>
                <w:lang w:eastAsia="zh-CN"/>
              </w:rPr>
              <w:t xml:space="preserve"> grant shall be ignored if it occurs in a downlink subframe or a special subframe.</w:t>
            </w:r>
          </w:p>
          <w:p w14:paraId="67AF4901" w14:textId="5ABE2FB5" w:rsidR="00E83C11" w:rsidRPr="00DC7527" w:rsidRDefault="00DC7527" w:rsidP="00E83C11">
            <w:pPr>
              <w:overflowPunct w:val="0"/>
              <w:autoSpaceDE w:val="0"/>
              <w:autoSpaceDN w:val="0"/>
              <w:adjustRightInd w:val="0"/>
              <w:rPr>
                <w:rFonts w:eastAsia="Times New Roman"/>
                <w:b/>
                <w:bCs/>
                <w:noProof/>
                <w:lang w:eastAsia="zh-CN"/>
              </w:rPr>
            </w:pPr>
            <w:r w:rsidRPr="00DC7527">
              <w:rPr>
                <w:rFonts w:eastAsia="Times New Roman"/>
                <w:b/>
                <w:bCs/>
                <w:noProof/>
                <w:lang w:eastAsia="zh-CN"/>
              </w:rPr>
              <w:t>&lt;omit part&gt;</w:t>
            </w:r>
          </w:p>
          <w:p w14:paraId="302999C0" w14:textId="77777777" w:rsidR="00E83C11" w:rsidRPr="00E83C11" w:rsidRDefault="00E83C11" w:rsidP="00E83C11">
            <w:pPr>
              <w:overflowPunct w:val="0"/>
              <w:autoSpaceDE w:val="0"/>
              <w:autoSpaceDN w:val="0"/>
              <w:adjustRightInd w:val="0"/>
              <w:rPr>
                <w:rFonts w:eastAsia="Times New Roman"/>
                <w:noProof/>
                <w:lang w:eastAsia="zh-CN"/>
              </w:rPr>
            </w:pPr>
            <w:r w:rsidRPr="00E83C11">
              <w:rPr>
                <w:rFonts w:eastAsia="Times New Roman"/>
                <w:noProof/>
                <w:lang w:eastAsia="zh-CN"/>
              </w:rPr>
              <w:t xml:space="preserve">The MAC entity shall clear the configured uplink grant immediately after </w:t>
            </w:r>
            <w:r w:rsidRPr="00E83C11">
              <w:rPr>
                <w:rFonts w:eastAsia="Times New Roman"/>
                <w:lang w:eastAsia="zh-CN"/>
              </w:rPr>
              <w:t xml:space="preserve">first transmission of </w:t>
            </w:r>
            <w:r w:rsidRPr="00E83C11">
              <w:rPr>
                <w:rFonts w:eastAsia="Times New Roman"/>
                <w:noProof/>
                <w:lang w:eastAsia="zh-CN"/>
              </w:rPr>
              <w:t>SPS confirmation MAC Control Element triggered by the SPS release.</w:t>
            </w:r>
          </w:p>
          <w:p w14:paraId="46FC1E09" w14:textId="77777777" w:rsidR="00E83C11" w:rsidRPr="00E83C11" w:rsidRDefault="00E83C11" w:rsidP="00E83C11">
            <w:pPr>
              <w:keepLines/>
              <w:overflowPunct w:val="0"/>
              <w:autoSpaceDE w:val="0"/>
              <w:autoSpaceDN w:val="0"/>
              <w:adjustRightInd w:val="0"/>
              <w:ind w:left="1135" w:hanging="851"/>
              <w:rPr>
                <w:rFonts w:eastAsia="Times New Roman"/>
                <w:noProof/>
                <w:lang w:eastAsia="zh-CN"/>
              </w:rPr>
            </w:pPr>
            <w:r w:rsidRPr="00E83C11">
              <w:rPr>
                <w:rFonts w:eastAsia="Times New Roman"/>
                <w:lang w:eastAsia="zh-CN"/>
              </w:rPr>
              <w:t>NOTE:</w:t>
            </w:r>
            <w:r w:rsidRPr="00E83C11">
              <w:rPr>
                <w:rFonts w:eastAsia="Times New Roman"/>
                <w:lang w:eastAsia="zh-CN"/>
              </w:rPr>
              <w:tab/>
              <w:t>Retransmissions for Semi-Persistent Scheduling can continue after clearing the configured uplink grant.</w:t>
            </w:r>
          </w:p>
          <w:p w14:paraId="51191D74" w14:textId="77777777" w:rsidR="00E83C11" w:rsidRPr="00E83C11" w:rsidRDefault="00E83C11" w:rsidP="00E83C11">
            <w:pPr>
              <w:overflowPunct w:val="0"/>
              <w:autoSpaceDE w:val="0"/>
              <w:autoSpaceDN w:val="0"/>
              <w:adjustRightInd w:val="0"/>
              <w:rPr>
                <w:rFonts w:eastAsia="Times New Roman"/>
                <w:noProof/>
                <w:lang w:eastAsia="zh-CN"/>
              </w:rPr>
            </w:pPr>
            <w:r w:rsidRPr="00E83C11">
              <w:rPr>
                <w:rFonts w:eastAsia="Times New Roman"/>
                <w:noProof/>
                <w:lang w:eastAsia="zh-CN"/>
              </w:rPr>
              <w:t>For NB-IoT UEs, BL UEs or UEs in enhanced coverage SFN</w:t>
            </w:r>
            <w:r w:rsidRPr="00E83C11">
              <w:rPr>
                <w:rFonts w:eastAsia="Times New Roman"/>
                <w:noProof/>
                <w:vertAlign w:val="subscript"/>
                <w:lang w:eastAsia="zh-CN"/>
              </w:rPr>
              <w:t>start time</w:t>
            </w:r>
            <w:r w:rsidRPr="00E83C11">
              <w:rPr>
                <w:rFonts w:eastAsia="Times New Roman"/>
                <w:noProof/>
                <w:lang w:eastAsia="zh-CN"/>
              </w:rPr>
              <w:t xml:space="preserve"> and subframe</w:t>
            </w:r>
            <w:r w:rsidRPr="00E83C11">
              <w:rPr>
                <w:rFonts w:eastAsia="Times New Roman"/>
                <w:noProof/>
                <w:vertAlign w:val="subscript"/>
                <w:lang w:eastAsia="zh-CN"/>
              </w:rPr>
              <w:t xml:space="preserve">start time </w:t>
            </w:r>
            <w:r w:rsidRPr="00E83C11">
              <w:rPr>
                <w:rFonts w:eastAsia="Times New Roman"/>
                <w:noProof/>
                <w:lang w:eastAsia="zh-CN"/>
              </w:rPr>
              <w:t>refer to SFN and subframe of the first transmission of PUSCH where configured uplink grant was (re-)initialized.</w:t>
            </w:r>
          </w:p>
          <w:p w14:paraId="4B8BD158" w14:textId="77777777" w:rsidR="00E83C11" w:rsidRPr="00E83C11" w:rsidRDefault="00E83C11" w:rsidP="00E83C11">
            <w:pPr>
              <w:overflowPunct w:val="0"/>
              <w:autoSpaceDE w:val="0"/>
              <w:autoSpaceDN w:val="0"/>
              <w:adjustRightInd w:val="0"/>
              <w:rPr>
                <w:rFonts w:eastAsia="Times New Roman"/>
                <w:lang w:eastAsia="zh-CN"/>
              </w:rPr>
            </w:pPr>
            <w:r w:rsidRPr="00E83C11">
              <w:rPr>
                <w:rFonts w:eastAsia="Times New Roman"/>
                <w:noProof/>
                <w:lang w:eastAsia="zh-CN"/>
              </w:rPr>
              <w:t>In the event of a resource conflict between multiple UL SPS configurations configured with Uplink Semi-Persistent Scheduling V-RNTI, the UE behaviour is undefined.</w:t>
            </w:r>
          </w:p>
          <w:p w14:paraId="4DEAED84" w14:textId="77777777" w:rsidR="00E83C11" w:rsidRPr="00E83C11" w:rsidRDefault="00E83C11" w:rsidP="00E83C11">
            <w:pPr>
              <w:overflowPunct w:val="0"/>
              <w:autoSpaceDE w:val="0"/>
              <w:autoSpaceDN w:val="0"/>
              <w:adjustRightInd w:val="0"/>
              <w:rPr>
                <w:rFonts w:eastAsia="Times New Roman"/>
                <w:noProof/>
                <w:lang w:eastAsia="zh-CN"/>
              </w:rPr>
            </w:pPr>
            <w:r w:rsidRPr="00E83C11">
              <w:rPr>
                <w:rFonts w:eastAsia="Times New Roman"/>
                <w:noProof/>
                <w:lang w:eastAsia="zh-CN"/>
              </w:rPr>
              <w:t>In the event of a resource conflict in the same serving cell between the initial transmision within a configured grant bundle from multiple different UL SPS configurations configured with Uplink Semi-Persistent Scheduling C-RNTI, the UE behaviour is undefined.</w:t>
            </w:r>
          </w:p>
          <w:p w14:paraId="48A6C4E8" w14:textId="141D7FF0" w:rsidR="00E83C11" w:rsidRDefault="00E83C11" w:rsidP="00E83C11">
            <w:pPr>
              <w:overflowPunct w:val="0"/>
              <w:autoSpaceDE w:val="0"/>
              <w:autoSpaceDN w:val="0"/>
              <w:adjustRightInd w:val="0"/>
              <w:rPr>
                <w:rFonts w:eastAsia="Times New Roman"/>
                <w:lang w:eastAsia="zh-CN"/>
              </w:rPr>
            </w:pPr>
            <w:r w:rsidRPr="00E83C11">
              <w:rPr>
                <w:rFonts w:eastAsia="Times New Roman"/>
                <w:lang w:eastAsia="zh-CN"/>
              </w:rPr>
              <w:t xml:space="preserve">For IoT NTN TDD mode, if the UL SPS resource overlaps with non-U NB-IoT subframes, the UE shall postpone the UL SPS resource to </w:t>
            </w:r>
            <w:r w:rsidR="00DC7527" w:rsidRPr="006D0329">
              <w:rPr>
                <w:rFonts w:eastAsia="Times New Roman"/>
                <w:color w:val="FF0000"/>
                <w:highlight w:val="yellow"/>
                <w:lang w:eastAsia="zh-CN"/>
              </w:rPr>
              <w:t xml:space="preserve">the configured </w:t>
            </w:r>
            <w:r w:rsidR="00DC7527" w:rsidRPr="006D0329">
              <w:rPr>
                <w:rFonts w:eastAsia="Times New Roman"/>
                <w:i/>
                <w:iCs/>
                <w:color w:val="FF0000"/>
                <w:highlight w:val="yellow"/>
                <w:lang w:eastAsia="zh-CN"/>
              </w:rPr>
              <w:t>UL-SPS-postponed-offset</w:t>
            </w:r>
            <w:r w:rsidR="00DC7527" w:rsidRPr="006D0329">
              <w:rPr>
                <w:rFonts w:eastAsia="Times New Roman"/>
                <w:color w:val="FF0000"/>
                <w:highlight w:val="yellow"/>
                <w:lang w:eastAsia="zh-CN"/>
              </w:rPr>
              <w:t xml:space="preserve"> subframe in the set of</w:t>
            </w:r>
            <w:r w:rsidR="00DC7527">
              <w:rPr>
                <w:rFonts w:eastAsia="Times New Roman"/>
                <w:lang w:eastAsia="zh-CN"/>
              </w:rPr>
              <w:t xml:space="preserve"> </w:t>
            </w:r>
            <w:r w:rsidRPr="00E83C11">
              <w:rPr>
                <w:rFonts w:eastAsia="Times New Roman"/>
                <w:lang w:eastAsia="zh-CN"/>
              </w:rPr>
              <w:t xml:space="preserve">the next valid </w:t>
            </w:r>
            <w:r w:rsidR="00DC7527" w:rsidRPr="006D0329">
              <w:rPr>
                <w:rFonts w:eastAsia="Times New Roman"/>
                <w:color w:val="FF0000"/>
                <w:highlight w:val="yellow"/>
                <w:lang w:eastAsia="zh-CN"/>
              </w:rPr>
              <w:t>8</w:t>
            </w:r>
            <w:r w:rsidR="00DC7527" w:rsidRPr="006D0329">
              <w:rPr>
                <w:rFonts w:eastAsia="Times New Roman"/>
                <w:color w:val="FF0000"/>
                <w:lang w:eastAsia="zh-CN"/>
              </w:rPr>
              <w:t xml:space="preserve"> </w:t>
            </w:r>
            <w:r w:rsidRPr="00E83C11">
              <w:rPr>
                <w:rFonts w:eastAsia="Times New Roman"/>
                <w:lang w:eastAsia="zh-CN"/>
              </w:rPr>
              <w:t>UL subframe</w:t>
            </w:r>
            <w:r w:rsidR="00DC7527" w:rsidRPr="006D0329">
              <w:rPr>
                <w:rFonts w:eastAsia="Times New Roman"/>
                <w:color w:val="FF0000"/>
                <w:highlight w:val="yellow"/>
                <w:lang w:eastAsia="zh-CN"/>
              </w:rPr>
              <w:t>s</w:t>
            </w:r>
            <w:r w:rsidRPr="00E83C11">
              <w:rPr>
                <w:rFonts w:eastAsia="Times New Roman"/>
                <w:lang w:eastAsia="zh-CN"/>
              </w:rPr>
              <w:t>.</w:t>
            </w:r>
          </w:p>
          <w:p w14:paraId="26D2E290" w14:textId="258981C6" w:rsidR="00E261CF" w:rsidRPr="00DC7527" w:rsidRDefault="00E83C11" w:rsidP="00520B89">
            <w:pPr>
              <w:overflowPunct w:val="0"/>
              <w:autoSpaceDE w:val="0"/>
              <w:autoSpaceDN w:val="0"/>
              <w:adjustRightInd w:val="0"/>
              <w:rPr>
                <w:rFonts w:eastAsia="Times New Roman"/>
                <w:noProof/>
                <w:lang w:val="en-US" w:eastAsia="zh-CN"/>
              </w:rPr>
            </w:pPr>
            <w:r w:rsidRPr="00E83C11">
              <w:rPr>
                <w:rFonts w:eastAsia="Times New Roman"/>
                <w:noProof/>
                <w:lang w:eastAsia="zh-CN"/>
              </w:rPr>
              <w:t xml:space="preserve">For NB-IoT UEs, a configured uplink grant shall be used only for BSR or SPS confirmation transmission, and </w:t>
            </w:r>
            <w:r w:rsidRPr="00E83C11">
              <w:rPr>
                <w:rFonts w:eastAsia="Times New Roman"/>
                <w:i/>
                <w:noProof/>
                <w:lang w:eastAsia="zh-CN"/>
              </w:rPr>
              <w:t>skipUplinkTxSPS</w:t>
            </w:r>
            <w:r w:rsidRPr="00E83C11">
              <w:rPr>
                <w:rFonts w:eastAsia="Times New Roman"/>
                <w:noProof/>
                <w:lang w:eastAsia="zh-CN"/>
              </w:rPr>
              <w:t xml:space="preserve"> is implicitly configured.</w:t>
            </w:r>
          </w:p>
        </w:tc>
      </w:tr>
    </w:tbl>
    <w:p w14:paraId="20A61B14" w14:textId="5FD7DC1F" w:rsidR="00DC7527" w:rsidRPr="00DC7527" w:rsidRDefault="00DC7527" w:rsidP="00401B41">
      <w:pPr>
        <w:rPr>
          <w:lang w:val="en-US" w:eastAsia="zh-CN"/>
        </w:rPr>
      </w:pPr>
    </w:p>
    <w:p w14:paraId="66AC9510" w14:textId="77777777" w:rsidR="00401B41" w:rsidRPr="00401B41" w:rsidRDefault="00401B41" w:rsidP="00E61FC8">
      <w:pPr>
        <w:rPr>
          <w:lang w:eastAsia="zh-CN"/>
        </w:rPr>
      </w:pPr>
    </w:p>
    <w:sectPr w:rsidR="00401B41" w:rsidRPr="00401B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B46EA" w14:textId="77777777" w:rsidR="00275070" w:rsidRDefault="00275070">
      <w:r>
        <w:separator/>
      </w:r>
    </w:p>
  </w:endnote>
  <w:endnote w:type="continuationSeparator" w:id="0">
    <w:p w14:paraId="67D1ABE6" w14:textId="77777777" w:rsidR="00275070" w:rsidRDefault="00275070">
      <w:r>
        <w:continuationSeparator/>
      </w:r>
    </w:p>
  </w:endnote>
  <w:endnote w:type="continuationNotice" w:id="1">
    <w:p w14:paraId="6904D843" w14:textId="77777777" w:rsidR="00275070" w:rsidRDefault="00275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1A1CE" w14:textId="77777777" w:rsidR="00275070" w:rsidRDefault="00275070">
      <w:r>
        <w:separator/>
      </w:r>
    </w:p>
  </w:footnote>
  <w:footnote w:type="continuationSeparator" w:id="0">
    <w:p w14:paraId="21467288" w14:textId="77777777" w:rsidR="00275070" w:rsidRDefault="00275070">
      <w:r>
        <w:continuationSeparator/>
      </w:r>
    </w:p>
  </w:footnote>
  <w:footnote w:type="continuationNotice" w:id="1">
    <w:p w14:paraId="141F622D" w14:textId="77777777" w:rsidR="00275070" w:rsidRDefault="002750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004F721F"/>
    <w:multiLevelType w:val="hybridMultilevel"/>
    <w:tmpl w:val="9B023FE8"/>
    <w:lvl w:ilvl="0" w:tplc="398AAD9E">
      <w:start w:val="1"/>
      <w:numFmt w:val="bullet"/>
      <w:lvlText w:val="•"/>
      <w:lvlJc w:val="left"/>
      <w:pPr>
        <w:tabs>
          <w:tab w:val="num" w:pos="720"/>
        </w:tabs>
        <w:ind w:left="720" w:hanging="360"/>
      </w:pPr>
      <w:rPr>
        <w:rFonts w:ascii="Arial" w:hAnsi="Arial" w:hint="default"/>
      </w:rPr>
    </w:lvl>
    <w:lvl w:ilvl="1" w:tplc="04800846">
      <w:start w:val="1"/>
      <w:numFmt w:val="bullet"/>
      <w:lvlText w:val="•"/>
      <w:lvlJc w:val="left"/>
      <w:pPr>
        <w:tabs>
          <w:tab w:val="num" w:pos="1440"/>
        </w:tabs>
        <w:ind w:left="1440" w:hanging="360"/>
      </w:pPr>
      <w:rPr>
        <w:rFonts w:ascii="Arial" w:hAnsi="Arial" w:hint="default"/>
      </w:rPr>
    </w:lvl>
    <w:lvl w:ilvl="2" w:tplc="A678C064">
      <w:numFmt w:val="bullet"/>
      <w:lvlText w:val="•"/>
      <w:lvlJc w:val="left"/>
      <w:pPr>
        <w:tabs>
          <w:tab w:val="num" w:pos="2160"/>
        </w:tabs>
        <w:ind w:left="2160" w:hanging="360"/>
      </w:pPr>
      <w:rPr>
        <w:rFonts w:ascii="Arial" w:hAnsi="Arial" w:hint="default"/>
      </w:rPr>
    </w:lvl>
    <w:lvl w:ilvl="3" w:tplc="3D8697FA" w:tentative="1">
      <w:start w:val="1"/>
      <w:numFmt w:val="bullet"/>
      <w:lvlText w:val="•"/>
      <w:lvlJc w:val="left"/>
      <w:pPr>
        <w:tabs>
          <w:tab w:val="num" w:pos="2880"/>
        </w:tabs>
        <w:ind w:left="2880" w:hanging="360"/>
      </w:pPr>
      <w:rPr>
        <w:rFonts w:ascii="Arial" w:hAnsi="Arial" w:hint="default"/>
      </w:rPr>
    </w:lvl>
    <w:lvl w:ilvl="4" w:tplc="D70ED738" w:tentative="1">
      <w:start w:val="1"/>
      <w:numFmt w:val="bullet"/>
      <w:lvlText w:val="•"/>
      <w:lvlJc w:val="left"/>
      <w:pPr>
        <w:tabs>
          <w:tab w:val="num" w:pos="3600"/>
        </w:tabs>
        <w:ind w:left="3600" w:hanging="360"/>
      </w:pPr>
      <w:rPr>
        <w:rFonts w:ascii="Arial" w:hAnsi="Arial" w:hint="default"/>
      </w:rPr>
    </w:lvl>
    <w:lvl w:ilvl="5" w:tplc="3FCE1574" w:tentative="1">
      <w:start w:val="1"/>
      <w:numFmt w:val="bullet"/>
      <w:lvlText w:val="•"/>
      <w:lvlJc w:val="left"/>
      <w:pPr>
        <w:tabs>
          <w:tab w:val="num" w:pos="4320"/>
        </w:tabs>
        <w:ind w:left="4320" w:hanging="360"/>
      </w:pPr>
      <w:rPr>
        <w:rFonts w:ascii="Arial" w:hAnsi="Arial" w:hint="default"/>
      </w:rPr>
    </w:lvl>
    <w:lvl w:ilvl="6" w:tplc="652017A2" w:tentative="1">
      <w:start w:val="1"/>
      <w:numFmt w:val="bullet"/>
      <w:lvlText w:val="•"/>
      <w:lvlJc w:val="left"/>
      <w:pPr>
        <w:tabs>
          <w:tab w:val="num" w:pos="5040"/>
        </w:tabs>
        <w:ind w:left="5040" w:hanging="360"/>
      </w:pPr>
      <w:rPr>
        <w:rFonts w:ascii="Arial" w:hAnsi="Arial" w:hint="default"/>
      </w:rPr>
    </w:lvl>
    <w:lvl w:ilvl="7" w:tplc="02503662" w:tentative="1">
      <w:start w:val="1"/>
      <w:numFmt w:val="bullet"/>
      <w:lvlText w:val="•"/>
      <w:lvlJc w:val="left"/>
      <w:pPr>
        <w:tabs>
          <w:tab w:val="num" w:pos="5760"/>
        </w:tabs>
        <w:ind w:left="5760" w:hanging="360"/>
      </w:pPr>
      <w:rPr>
        <w:rFonts w:ascii="Arial" w:hAnsi="Arial" w:hint="default"/>
      </w:rPr>
    </w:lvl>
    <w:lvl w:ilvl="8" w:tplc="A99C33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8832BFF"/>
    <w:multiLevelType w:val="hybridMultilevel"/>
    <w:tmpl w:val="2B6AF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D5B7B"/>
    <w:multiLevelType w:val="hybridMultilevel"/>
    <w:tmpl w:val="8C24A826"/>
    <w:lvl w:ilvl="0" w:tplc="58344D9A">
      <w:start w:val="1"/>
      <w:numFmt w:val="bullet"/>
      <w:lvlText w:val="•"/>
      <w:lvlJc w:val="left"/>
      <w:pPr>
        <w:tabs>
          <w:tab w:val="num" w:pos="720"/>
        </w:tabs>
        <w:ind w:left="720" w:hanging="360"/>
      </w:pPr>
      <w:rPr>
        <w:rFonts w:ascii="Arial" w:hAnsi="Arial" w:hint="default"/>
      </w:rPr>
    </w:lvl>
    <w:lvl w:ilvl="1" w:tplc="9CF4CDBA">
      <w:start w:val="1"/>
      <w:numFmt w:val="bullet"/>
      <w:lvlText w:val="•"/>
      <w:lvlJc w:val="left"/>
      <w:pPr>
        <w:tabs>
          <w:tab w:val="num" w:pos="1440"/>
        </w:tabs>
        <w:ind w:left="1440" w:hanging="360"/>
      </w:pPr>
      <w:rPr>
        <w:rFonts w:ascii="Arial" w:hAnsi="Arial" w:hint="default"/>
      </w:rPr>
    </w:lvl>
    <w:lvl w:ilvl="2" w:tplc="E02231EE">
      <w:numFmt w:val="bullet"/>
      <w:lvlText w:val="•"/>
      <w:lvlJc w:val="left"/>
      <w:pPr>
        <w:tabs>
          <w:tab w:val="num" w:pos="2160"/>
        </w:tabs>
        <w:ind w:left="2160" w:hanging="360"/>
      </w:pPr>
      <w:rPr>
        <w:rFonts w:ascii="Arial" w:hAnsi="Arial" w:hint="default"/>
      </w:rPr>
    </w:lvl>
    <w:lvl w:ilvl="3" w:tplc="E36AEFA2">
      <w:numFmt w:val="bullet"/>
      <w:lvlText w:val="•"/>
      <w:lvlJc w:val="left"/>
      <w:pPr>
        <w:tabs>
          <w:tab w:val="num" w:pos="2880"/>
        </w:tabs>
        <w:ind w:left="2880" w:hanging="360"/>
      </w:pPr>
      <w:rPr>
        <w:rFonts w:ascii="Arial" w:hAnsi="Arial" w:hint="default"/>
      </w:rPr>
    </w:lvl>
    <w:lvl w:ilvl="4" w:tplc="CFD4ACF2" w:tentative="1">
      <w:start w:val="1"/>
      <w:numFmt w:val="bullet"/>
      <w:lvlText w:val="•"/>
      <w:lvlJc w:val="left"/>
      <w:pPr>
        <w:tabs>
          <w:tab w:val="num" w:pos="3600"/>
        </w:tabs>
        <w:ind w:left="3600" w:hanging="360"/>
      </w:pPr>
      <w:rPr>
        <w:rFonts w:ascii="Arial" w:hAnsi="Arial" w:hint="default"/>
      </w:rPr>
    </w:lvl>
    <w:lvl w:ilvl="5" w:tplc="7606679E" w:tentative="1">
      <w:start w:val="1"/>
      <w:numFmt w:val="bullet"/>
      <w:lvlText w:val="•"/>
      <w:lvlJc w:val="left"/>
      <w:pPr>
        <w:tabs>
          <w:tab w:val="num" w:pos="4320"/>
        </w:tabs>
        <w:ind w:left="4320" w:hanging="360"/>
      </w:pPr>
      <w:rPr>
        <w:rFonts w:ascii="Arial" w:hAnsi="Arial" w:hint="default"/>
      </w:rPr>
    </w:lvl>
    <w:lvl w:ilvl="6" w:tplc="8F52C74A" w:tentative="1">
      <w:start w:val="1"/>
      <w:numFmt w:val="bullet"/>
      <w:lvlText w:val="•"/>
      <w:lvlJc w:val="left"/>
      <w:pPr>
        <w:tabs>
          <w:tab w:val="num" w:pos="5040"/>
        </w:tabs>
        <w:ind w:left="5040" w:hanging="360"/>
      </w:pPr>
      <w:rPr>
        <w:rFonts w:ascii="Arial" w:hAnsi="Arial" w:hint="default"/>
      </w:rPr>
    </w:lvl>
    <w:lvl w:ilvl="7" w:tplc="E52AFB2C" w:tentative="1">
      <w:start w:val="1"/>
      <w:numFmt w:val="bullet"/>
      <w:lvlText w:val="•"/>
      <w:lvlJc w:val="left"/>
      <w:pPr>
        <w:tabs>
          <w:tab w:val="num" w:pos="5760"/>
        </w:tabs>
        <w:ind w:left="5760" w:hanging="360"/>
      </w:pPr>
      <w:rPr>
        <w:rFonts w:ascii="Arial" w:hAnsi="Arial" w:hint="default"/>
      </w:rPr>
    </w:lvl>
    <w:lvl w:ilvl="8" w:tplc="6F8EF7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37E75B6"/>
    <w:multiLevelType w:val="hybridMultilevel"/>
    <w:tmpl w:val="22C64C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43CE0838"/>
    <w:multiLevelType w:val="hybridMultilevel"/>
    <w:tmpl w:val="EECCA1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C50711A"/>
    <w:multiLevelType w:val="hybridMultilevel"/>
    <w:tmpl w:val="7584E780"/>
    <w:lvl w:ilvl="0" w:tplc="C50291AA">
      <w:start w:val="1"/>
      <w:numFmt w:val="bullet"/>
      <w:lvlText w:val=""/>
      <w:lvlJc w:val="left"/>
      <w:pPr>
        <w:ind w:left="2320" w:hanging="360"/>
      </w:pPr>
      <w:rPr>
        <w:rFonts w:ascii="Symbol" w:hAnsi="Symbol"/>
      </w:rPr>
    </w:lvl>
    <w:lvl w:ilvl="1" w:tplc="8EBAEF84">
      <w:start w:val="1"/>
      <w:numFmt w:val="bullet"/>
      <w:lvlText w:val=""/>
      <w:lvlJc w:val="left"/>
      <w:pPr>
        <w:ind w:left="2320" w:hanging="360"/>
      </w:pPr>
      <w:rPr>
        <w:rFonts w:ascii="Symbol" w:hAnsi="Symbol"/>
      </w:rPr>
    </w:lvl>
    <w:lvl w:ilvl="2" w:tplc="52341120">
      <w:start w:val="1"/>
      <w:numFmt w:val="bullet"/>
      <w:lvlText w:val=""/>
      <w:lvlJc w:val="left"/>
      <w:pPr>
        <w:ind w:left="2320" w:hanging="360"/>
      </w:pPr>
      <w:rPr>
        <w:rFonts w:ascii="Symbol" w:hAnsi="Symbol"/>
      </w:rPr>
    </w:lvl>
    <w:lvl w:ilvl="3" w:tplc="7A06C730">
      <w:start w:val="1"/>
      <w:numFmt w:val="bullet"/>
      <w:lvlText w:val=""/>
      <w:lvlJc w:val="left"/>
      <w:pPr>
        <w:ind w:left="2320" w:hanging="360"/>
      </w:pPr>
      <w:rPr>
        <w:rFonts w:ascii="Symbol" w:hAnsi="Symbol"/>
      </w:rPr>
    </w:lvl>
    <w:lvl w:ilvl="4" w:tplc="2CE6BF68">
      <w:start w:val="1"/>
      <w:numFmt w:val="bullet"/>
      <w:lvlText w:val=""/>
      <w:lvlJc w:val="left"/>
      <w:pPr>
        <w:ind w:left="2320" w:hanging="360"/>
      </w:pPr>
      <w:rPr>
        <w:rFonts w:ascii="Symbol" w:hAnsi="Symbol"/>
      </w:rPr>
    </w:lvl>
    <w:lvl w:ilvl="5" w:tplc="9EE07440">
      <w:start w:val="1"/>
      <w:numFmt w:val="bullet"/>
      <w:lvlText w:val=""/>
      <w:lvlJc w:val="left"/>
      <w:pPr>
        <w:ind w:left="2320" w:hanging="360"/>
      </w:pPr>
      <w:rPr>
        <w:rFonts w:ascii="Symbol" w:hAnsi="Symbol"/>
      </w:rPr>
    </w:lvl>
    <w:lvl w:ilvl="6" w:tplc="17EE7186">
      <w:start w:val="1"/>
      <w:numFmt w:val="bullet"/>
      <w:lvlText w:val=""/>
      <w:lvlJc w:val="left"/>
      <w:pPr>
        <w:ind w:left="2320" w:hanging="360"/>
      </w:pPr>
      <w:rPr>
        <w:rFonts w:ascii="Symbol" w:hAnsi="Symbol"/>
      </w:rPr>
    </w:lvl>
    <w:lvl w:ilvl="7" w:tplc="95D816C6">
      <w:start w:val="1"/>
      <w:numFmt w:val="bullet"/>
      <w:lvlText w:val=""/>
      <w:lvlJc w:val="left"/>
      <w:pPr>
        <w:ind w:left="2320" w:hanging="360"/>
      </w:pPr>
      <w:rPr>
        <w:rFonts w:ascii="Symbol" w:hAnsi="Symbol"/>
      </w:rPr>
    </w:lvl>
    <w:lvl w:ilvl="8" w:tplc="F2C64758">
      <w:start w:val="1"/>
      <w:numFmt w:val="bullet"/>
      <w:lvlText w:val=""/>
      <w:lvlJc w:val="left"/>
      <w:pPr>
        <w:ind w:left="2320" w:hanging="360"/>
      </w:pPr>
      <w:rPr>
        <w:rFonts w:ascii="Symbol" w:hAnsi="Symbol"/>
      </w:rPr>
    </w:lvl>
  </w:abstractNum>
  <w:abstractNum w:abstractNumId="25" w15:restartNumberingAfterBreak="0">
    <w:nsid w:val="4C813120"/>
    <w:multiLevelType w:val="hybridMultilevel"/>
    <w:tmpl w:val="CFB4DB7A"/>
    <w:lvl w:ilvl="0" w:tplc="41BE90A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4C5B3D"/>
    <w:multiLevelType w:val="hybridMultilevel"/>
    <w:tmpl w:val="1070F53C"/>
    <w:lvl w:ilvl="0" w:tplc="AF108E2C">
      <w:start w:val="1"/>
      <w:numFmt w:val="bullet"/>
      <w:lvlText w:val=""/>
      <w:lvlJc w:val="left"/>
      <w:pPr>
        <w:ind w:left="1800" w:hanging="360"/>
      </w:pPr>
      <w:rPr>
        <w:rFonts w:ascii="Symbol" w:hAnsi="Symbol"/>
      </w:rPr>
    </w:lvl>
    <w:lvl w:ilvl="1" w:tplc="9A4E1848">
      <w:start w:val="1"/>
      <w:numFmt w:val="bullet"/>
      <w:lvlText w:val=""/>
      <w:lvlJc w:val="left"/>
      <w:pPr>
        <w:ind w:left="1800" w:hanging="360"/>
      </w:pPr>
      <w:rPr>
        <w:rFonts w:ascii="Symbol" w:hAnsi="Symbol"/>
      </w:rPr>
    </w:lvl>
    <w:lvl w:ilvl="2" w:tplc="FCD89294">
      <w:start w:val="1"/>
      <w:numFmt w:val="bullet"/>
      <w:lvlText w:val=""/>
      <w:lvlJc w:val="left"/>
      <w:pPr>
        <w:ind w:left="1800" w:hanging="360"/>
      </w:pPr>
      <w:rPr>
        <w:rFonts w:ascii="Symbol" w:hAnsi="Symbol"/>
      </w:rPr>
    </w:lvl>
    <w:lvl w:ilvl="3" w:tplc="DA0CB92A">
      <w:start w:val="1"/>
      <w:numFmt w:val="bullet"/>
      <w:lvlText w:val=""/>
      <w:lvlJc w:val="left"/>
      <w:pPr>
        <w:ind w:left="1800" w:hanging="360"/>
      </w:pPr>
      <w:rPr>
        <w:rFonts w:ascii="Symbol" w:hAnsi="Symbol"/>
      </w:rPr>
    </w:lvl>
    <w:lvl w:ilvl="4" w:tplc="17D245F6">
      <w:start w:val="1"/>
      <w:numFmt w:val="bullet"/>
      <w:lvlText w:val=""/>
      <w:lvlJc w:val="left"/>
      <w:pPr>
        <w:ind w:left="1800" w:hanging="360"/>
      </w:pPr>
      <w:rPr>
        <w:rFonts w:ascii="Symbol" w:hAnsi="Symbol"/>
      </w:rPr>
    </w:lvl>
    <w:lvl w:ilvl="5" w:tplc="47A86BDA">
      <w:start w:val="1"/>
      <w:numFmt w:val="bullet"/>
      <w:lvlText w:val=""/>
      <w:lvlJc w:val="left"/>
      <w:pPr>
        <w:ind w:left="1800" w:hanging="360"/>
      </w:pPr>
      <w:rPr>
        <w:rFonts w:ascii="Symbol" w:hAnsi="Symbol"/>
      </w:rPr>
    </w:lvl>
    <w:lvl w:ilvl="6" w:tplc="1408E5DC">
      <w:start w:val="1"/>
      <w:numFmt w:val="bullet"/>
      <w:lvlText w:val=""/>
      <w:lvlJc w:val="left"/>
      <w:pPr>
        <w:ind w:left="1800" w:hanging="360"/>
      </w:pPr>
      <w:rPr>
        <w:rFonts w:ascii="Symbol" w:hAnsi="Symbol"/>
      </w:rPr>
    </w:lvl>
    <w:lvl w:ilvl="7" w:tplc="DB0008B0">
      <w:start w:val="1"/>
      <w:numFmt w:val="bullet"/>
      <w:lvlText w:val=""/>
      <w:lvlJc w:val="left"/>
      <w:pPr>
        <w:ind w:left="1800" w:hanging="360"/>
      </w:pPr>
      <w:rPr>
        <w:rFonts w:ascii="Symbol" w:hAnsi="Symbol"/>
      </w:rPr>
    </w:lvl>
    <w:lvl w:ilvl="8" w:tplc="A62A127C">
      <w:start w:val="1"/>
      <w:numFmt w:val="bullet"/>
      <w:lvlText w:val=""/>
      <w:lvlJc w:val="left"/>
      <w:pPr>
        <w:ind w:left="1800" w:hanging="360"/>
      </w:pPr>
      <w:rPr>
        <w:rFonts w:ascii="Symbol" w:hAnsi="Symbol"/>
      </w:rPr>
    </w:lvl>
  </w:abstractNum>
  <w:abstractNum w:abstractNumId="28" w15:restartNumberingAfterBreak="0">
    <w:nsid w:val="64956824"/>
    <w:multiLevelType w:val="hybridMultilevel"/>
    <w:tmpl w:val="CA34E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6BC35FBA"/>
    <w:multiLevelType w:val="hybridMultilevel"/>
    <w:tmpl w:val="7F3C9D72"/>
    <w:lvl w:ilvl="0" w:tplc="A7BEC3D2">
      <w:start w:val="1"/>
      <w:numFmt w:val="bullet"/>
      <w:lvlText w:val=""/>
      <w:lvlJc w:val="left"/>
      <w:pPr>
        <w:ind w:left="2320" w:hanging="360"/>
      </w:pPr>
      <w:rPr>
        <w:rFonts w:ascii="Symbol" w:hAnsi="Symbol"/>
      </w:rPr>
    </w:lvl>
    <w:lvl w:ilvl="1" w:tplc="08588B8A">
      <w:start w:val="1"/>
      <w:numFmt w:val="bullet"/>
      <w:lvlText w:val=""/>
      <w:lvlJc w:val="left"/>
      <w:pPr>
        <w:ind w:left="2320" w:hanging="360"/>
      </w:pPr>
      <w:rPr>
        <w:rFonts w:ascii="Symbol" w:hAnsi="Symbol"/>
      </w:rPr>
    </w:lvl>
    <w:lvl w:ilvl="2" w:tplc="CA8848C0">
      <w:start w:val="1"/>
      <w:numFmt w:val="bullet"/>
      <w:lvlText w:val=""/>
      <w:lvlJc w:val="left"/>
      <w:pPr>
        <w:ind w:left="2320" w:hanging="360"/>
      </w:pPr>
      <w:rPr>
        <w:rFonts w:ascii="Symbol" w:hAnsi="Symbol"/>
      </w:rPr>
    </w:lvl>
    <w:lvl w:ilvl="3" w:tplc="5B183BC4">
      <w:start w:val="1"/>
      <w:numFmt w:val="bullet"/>
      <w:lvlText w:val=""/>
      <w:lvlJc w:val="left"/>
      <w:pPr>
        <w:ind w:left="2320" w:hanging="360"/>
      </w:pPr>
      <w:rPr>
        <w:rFonts w:ascii="Symbol" w:hAnsi="Symbol"/>
      </w:rPr>
    </w:lvl>
    <w:lvl w:ilvl="4" w:tplc="3CD05D74">
      <w:start w:val="1"/>
      <w:numFmt w:val="bullet"/>
      <w:lvlText w:val=""/>
      <w:lvlJc w:val="left"/>
      <w:pPr>
        <w:ind w:left="2320" w:hanging="360"/>
      </w:pPr>
      <w:rPr>
        <w:rFonts w:ascii="Symbol" w:hAnsi="Symbol"/>
      </w:rPr>
    </w:lvl>
    <w:lvl w:ilvl="5" w:tplc="A754D756">
      <w:start w:val="1"/>
      <w:numFmt w:val="bullet"/>
      <w:lvlText w:val=""/>
      <w:lvlJc w:val="left"/>
      <w:pPr>
        <w:ind w:left="2320" w:hanging="360"/>
      </w:pPr>
      <w:rPr>
        <w:rFonts w:ascii="Symbol" w:hAnsi="Symbol"/>
      </w:rPr>
    </w:lvl>
    <w:lvl w:ilvl="6" w:tplc="BEDA58A2">
      <w:start w:val="1"/>
      <w:numFmt w:val="bullet"/>
      <w:lvlText w:val=""/>
      <w:lvlJc w:val="left"/>
      <w:pPr>
        <w:ind w:left="2320" w:hanging="360"/>
      </w:pPr>
      <w:rPr>
        <w:rFonts w:ascii="Symbol" w:hAnsi="Symbol"/>
      </w:rPr>
    </w:lvl>
    <w:lvl w:ilvl="7" w:tplc="B96C11E6">
      <w:start w:val="1"/>
      <w:numFmt w:val="bullet"/>
      <w:lvlText w:val=""/>
      <w:lvlJc w:val="left"/>
      <w:pPr>
        <w:ind w:left="2320" w:hanging="360"/>
      </w:pPr>
      <w:rPr>
        <w:rFonts w:ascii="Symbol" w:hAnsi="Symbol"/>
      </w:rPr>
    </w:lvl>
    <w:lvl w:ilvl="8" w:tplc="FB46555A">
      <w:start w:val="1"/>
      <w:numFmt w:val="bullet"/>
      <w:lvlText w:val=""/>
      <w:lvlJc w:val="left"/>
      <w:pPr>
        <w:ind w:left="2320" w:hanging="360"/>
      </w:pPr>
      <w:rPr>
        <w:rFonts w:ascii="Symbol" w:hAnsi="Symbol"/>
      </w:rPr>
    </w:lvl>
  </w:abstractNum>
  <w:abstractNum w:abstractNumId="31" w15:restartNumberingAfterBreak="0">
    <w:nsid w:val="7C187196"/>
    <w:multiLevelType w:val="hybridMultilevel"/>
    <w:tmpl w:val="C2D87B30"/>
    <w:lvl w:ilvl="0" w:tplc="4282C702">
      <w:start w:val="1"/>
      <w:numFmt w:val="bullet"/>
      <w:lvlText w:val="•"/>
      <w:lvlJc w:val="left"/>
      <w:pPr>
        <w:tabs>
          <w:tab w:val="num" w:pos="720"/>
        </w:tabs>
        <w:ind w:left="720" w:hanging="360"/>
      </w:pPr>
      <w:rPr>
        <w:rFonts w:ascii="Arial" w:hAnsi="Arial" w:hint="default"/>
      </w:rPr>
    </w:lvl>
    <w:lvl w:ilvl="1" w:tplc="17BE4390" w:tentative="1">
      <w:start w:val="1"/>
      <w:numFmt w:val="bullet"/>
      <w:lvlText w:val="•"/>
      <w:lvlJc w:val="left"/>
      <w:pPr>
        <w:tabs>
          <w:tab w:val="num" w:pos="1440"/>
        </w:tabs>
        <w:ind w:left="1440" w:hanging="360"/>
      </w:pPr>
      <w:rPr>
        <w:rFonts w:ascii="Arial" w:hAnsi="Arial" w:hint="default"/>
      </w:rPr>
    </w:lvl>
    <w:lvl w:ilvl="2" w:tplc="38BE1FB6" w:tentative="1">
      <w:start w:val="1"/>
      <w:numFmt w:val="bullet"/>
      <w:lvlText w:val="•"/>
      <w:lvlJc w:val="left"/>
      <w:pPr>
        <w:tabs>
          <w:tab w:val="num" w:pos="2160"/>
        </w:tabs>
        <w:ind w:left="2160" w:hanging="360"/>
      </w:pPr>
      <w:rPr>
        <w:rFonts w:ascii="Arial" w:hAnsi="Arial" w:hint="default"/>
      </w:rPr>
    </w:lvl>
    <w:lvl w:ilvl="3" w:tplc="EE3877E0" w:tentative="1">
      <w:start w:val="1"/>
      <w:numFmt w:val="bullet"/>
      <w:lvlText w:val="•"/>
      <w:lvlJc w:val="left"/>
      <w:pPr>
        <w:tabs>
          <w:tab w:val="num" w:pos="2880"/>
        </w:tabs>
        <w:ind w:left="2880" w:hanging="360"/>
      </w:pPr>
      <w:rPr>
        <w:rFonts w:ascii="Arial" w:hAnsi="Arial" w:hint="default"/>
      </w:rPr>
    </w:lvl>
    <w:lvl w:ilvl="4" w:tplc="41A265EE" w:tentative="1">
      <w:start w:val="1"/>
      <w:numFmt w:val="bullet"/>
      <w:lvlText w:val="•"/>
      <w:lvlJc w:val="left"/>
      <w:pPr>
        <w:tabs>
          <w:tab w:val="num" w:pos="3600"/>
        </w:tabs>
        <w:ind w:left="3600" w:hanging="360"/>
      </w:pPr>
      <w:rPr>
        <w:rFonts w:ascii="Arial" w:hAnsi="Arial" w:hint="default"/>
      </w:rPr>
    </w:lvl>
    <w:lvl w:ilvl="5" w:tplc="C7D6030A" w:tentative="1">
      <w:start w:val="1"/>
      <w:numFmt w:val="bullet"/>
      <w:lvlText w:val="•"/>
      <w:lvlJc w:val="left"/>
      <w:pPr>
        <w:tabs>
          <w:tab w:val="num" w:pos="4320"/>
        </w:tabs>
        <w:ind w:left="4320" w:hanging="360"/>
      </w:pPr>
      <w:rPr>
        <w:rFonts w:ascii="Arial" w:hAnsi="Arial" w:hint="default"/>
      </w:rPr>
    </w:lvl>
    <w:lvl w:ilvl="6" w:tplc="D45C7A3E" w:tentative="1">
      <w:start w:val="1"/>
      <w:numFmt w:val="bullet"/>
      <w:lvlText w:val="•"/>
      <w:lvlJc w:val="left"/>
      <w:pPr>
        <w:tabs>
          <w:tab w:val="num" w:pos="5040"/>
        </w:tabs>
        <w:ind w:left="5040" w:hanging="360"/>
      </w:pPr>
      <w:rPr>
        <w:rFonts w:ascii="Arial" w:hAnsi="Arial" w:hint="default"/>
      </w:rPr>
    </w:lvl>
    <w:lvl w:ilvl="7" w:tplc="0240997C" w:tentative="1">
      <w:start w:val="1"/>
      <w:numFmt w:val="bullet"/>
      <w:lvlText w:val="•"/>
      <w:lvlJc w:val="left"/>
      <w:pPr>
        <w:tabs>
          <w:tab w:val="num" w:pos="5760"/>
        </w:tabs>
        <w:ind w:left="5760" w:hanging="360"/>
      </w:pPr>
      <w:rPr>
        <w:rFonts w:ascii="Arial" w:hAnsi="Arial" w:hint="default"/>
      </w:rPr>
    </w:lvl>
    <w:lvl w:ilvl="8" w:tplc="CC80D812"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3"/>
  </w:num>
  <w:num w:numId="4" w16cid:durableId="199124208">
    <w:abstractNumId w:val="19"/>
  </w:num>
  <w:num w:numId="5" w16cid:durableId="630793192">
    <w:abstractNumId w:val="17"/>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4930267">
    <w:abstractNumId w:val="11"/>
  </w:num>
  <w:num w:numId="19" w16cid:durableId="2086754006">
    <w:abstractNumId w:val="29"/>
  </w:num>
  <w:num w:numId="20" w16cid:durableId="1613973753">
    <w:abstractNumId w:val="21"/>
  </w:num>
  <w:num w:numId="21" w16cid:durableId="349063698">
    <w:abstractNumId w:val="25"/>
  </w:num>
  <w:num w:numId="22" w16cid:durableId="893007050">
    <w:abstractNumId w:val="18"/>
  </w:num>
  <w:num w:numId="23" w16cid:durableId="1184174574">
    <w:abstractNumId w:val="12"/>
  </w:num>
  <w:num w:numId="24" w16cid:durableId="1766880247">
    <w:abstractNumId w:val="31"/>
  </w:num>
  <w:num w:numId="25" w16cid:durableId="878126950">
    <w:abstractNumId w:val="28"/>
  </w:num>
  <w:num w:numId="26" w16cid:durableId="1044450250">
    <w:abstractNumId w:val="14"/>
  </w:num>
  <w:num w:numId="27" w16cid:durableId="716275697">
    <w:abstractNumId w:val="26"/>
  </w:num>
  <w:num w:numId="28" w16cid:durableId="939023045">
    <w:abstractNumId w:val="15"/>
  </w:num>
  <w:num w:numId="29" w16cid:durableId="133525841">
    <w:abstractNumId w:val="20"/>
  </w:num>
  <w:num w:numId="30" w16cid:durableId="1802530530">
    <w:abstractNumId w:val="30"/>
  </w:num>
  <w:num w:numId="31" w16cid:durableId="1088037038">
    <w:abstractNumId w:val="24"/>
  </w:num>
  <w:num w:numId="32" w16cid:durableId="1126697152">
    <w:abstractNumId w:val="27"/>
  </w:num>
  <w:num w:numId="33" w16cid:durableId="13596225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F00"/>
    <w:rsid w:val="00003344"/>
    <w:rsid w:val="00003BB5"/>
    <w:rsid w:val="00003C00"/>
    <w:rsid w:val="00004650"/>
    <w:rsid w:val="00005162"/>
    <w:rsid w:val="0000617D"/>
    <w:rsid w:val="00006C10"/>
    <w:rsid w:val="00007093"/>
    <w:rsid w:val="00011854"/>
    <w:rsid w:val="000143F2"/>
    <w:rsid w:val="000145A1"/>
    <w:rsid w:val="00016557"/>
    <w:rsid w:val="000202D8"/>
    <w:rsid w:val="00023C40"/>
    <w:rsid w:val="00023C8E"/>
    <w:rsid w:val="00024BC0"/>
    <w:rsid w:val="0002507D"/>
    <w:rsid w:val="00026B96"/>
    <w:rsid w:val="00031DB2"/>
    <w:rsid w:val="00033397"/>
    <w:rsid w:val="00034701"/>
    <w:rsid w:val="00035E6A"/>
    <w:rsid w:val="00037868"/>
    <w:rsid w:val="00040095"/>
    <w:rsid w:val="000418DD"/>
    <w:rsid w:val="00046863"/>
    <w:rsid w:val="00047AF2"/>
    <w:rsid w:val="00052469"/>
    <w:rsid w:val="00052AAA"/>
    <w:rsid w:val="0005505C"/>
    <w:rsid w:val="000579BE"/>
    <w:rsid w:val="00060765"/>
    <w:rsid w:val="00061432"/>
    <w:rsid w:val="000616C4"/>
    <w:rsid w:val="00061824"/>
    <w:rsid w:val="00065268"/>
    <w:rsid w:val="00065C77"/>
    <w:rsid w:val="0006730A"/>
    <w:rsid w:val="00067EEF"/>
    <w:rsid w:val="00070FFB"/>
    <w:rsid w:val="00071BEF"/>
    <w:rsid w:val="00073C9C"/>
    <w:rsid w:val="000761AD"/>
    <w:rsid w:val="00076412"/>
    <w:rsid w:val="00080512"/>
    <w:rsid w:val="00090468"/>
    <w:rsid w:val="0009310E"/>
    <w:rsid w:val="00093E68"/>
    <w:rsid w:val="00094568"/>
    <w:rsid w:val="00096488"/>
    <w:rsid w:val="000A0E69"/>
    <w:rsid w:val="000A71F2"/>
    <w:rsid w:val="000A7E80"/>
    <w:rsid w:val="000B0A68"/>
    <w:rsid w:val="000B1820"/>
    <w:rsid w:val="000B2328"/>
    <w:rsid w:val="000B2792"/>
    <w:rsid w:val="000B325C"/>
    <w:rsid w:val="000B6DD0"/>
    <w:rsid w:val="000B7BCF"/>
    <w:rsid w:val="000C0D91"/>
    <w:rsid w:val="000C1083"/>
    <w:rsid w:val="000C2328"/>
    <w:rsid w:val="000C35A0"/>
    <w:rsid w:val="000C3871"/>
    <w:rsid w:val="000C522B"/>
    <w:rsid w:val="000D0122"/>
    <w:rsid w:val="000D0521"/>
    <w:rsid w:val="000D20E0"/>
    <w:rsid w:val="000D3DFC"/>
    <w:rsid w:val="000D3E06"/>
    <w:rsid w:val="000D58AB"/>
    <w:rsid w:val="000D5F7B"/>
    <w:rsid w:val="000D69C3"/>
    <w:rsid w:val="000D7E18"/>
    <w:rsid w:val="000E0F54"/>
    <w:rsid w:val="000E0FE9"/>
    <w:rsid w:val="000E1A81"/>
    <w:rsid w:val="000E32C8"/>
    <w:rsid w:val="000E3E70"/>
    <w:rsid w:val="000E5B65"/>
    <w:rsid w:val="000F1865"/>
    <w:rsid w:val="000F1A0B"/>
    <w:rsid w:val="000F2EB2"/>
    <w:rsid w:val="000F437C"/>
    <w:rsid w:val="000F53AA"/>
    <w:rsid w:val="000F64B8"/>
    <w:rsid w:val="000F7A10"/>
    <w:rsid w:val="000F7CA7"/>
    <w:rsid w:val="001009A5"/>
    <w:rsid w:val="0011069B"/>
    <w:rsid w:val="0011137D"/>
    <w:rsid w:val="00111A9A"/>
    <w:rsid w:val="00112F1A"/>
    <w:rsid w:val="001133A8"/>
    <w:rsid w:val="001134EA"/>
    <w:rsid w:val="00116D90"/>
    <w:rsid w:val="00117151"/>
    <w:rsid w:val="0012393E"/>
    <w:rsid w:val="0012610D"/>
    <w:rsid w:val="001268B1"/>
    <w:rsid w:val="0013178D"/>
    <w:rsid w:val="00132C80"/>
    <w:rsid w:val="001348F3"/>
    <w:rsid w:val="00145075"/>
    <w:rsid w:val="00145969"/>
    <w:rsid w:val="001476FE"/>
    <w:rsid w:val="0015455C"/>
    <w:rsid w:val="00155F26"/>
    <w:rsid w:val="001603C4"/>
    <w:rsid w:val="00160903"/>
    <w:rsid w:val="00161E7D"/>
    <w:rsid w:val="00162FF8"/>
    <w:rsid w:val="00163A64"/>
    <w:rsid w:val="00164AB7"/>
    <w:rsid w:val="00166999"/>
    <w:rsid w:val="001701AD"/>
    <w:rsid w:val="00171E0A"/>
    <w:rsid w:val="00172A1E"/>
    <w:rsid w:val="001735A4"/>
    <w:rsid w:val="001741A0"/>
    <w:rsid w:val="00175745"/>
    <w:rsid w:val="00175FA0"/>
    <w:rsid w:val="00176AE5"/>
    <w:rsid w:val="00177D38"/>
    <w:rsid w:val="00180423"/>
    <w:rsid w:val="00181142"/>
    <w:rsid w:val="001829B5"/>
    <w:rsid w:val="00182DCF"/>
    <w:rsid w:val="0018314A"/>
    <w:rsid w:val="00183A2C"/>
    <w:rsid w:val="0018542A"/>
    <w:rsid w:val="00186352"/>
    <w:rsid w:val="0018682C"/>
    <w:rsid w:val="00186E8D"/>
    <w:rsid w:val="0019058A"/>
    <w:rsid w:val="00191338"/>
    <w:rsid w:val="00192473"/>
    <w:rsid w:val="00194CD0"/>
    <w:rsid w:val="00195C89"/>
    <w:rsid w:val="0019637A"/>
    <w:rsid w:val="001A321C"/>
    <w:rsid w:val="001A3993"/>
    <w:rsid w:val="001A570F"/>
    <w:rsid w:val="001A729C"/>
    <w:rsid w:val="001B2075"/>
    <w:rsid w:val="001B49C9"/>
    <w:rsid w:val="001C05CC"/>
    <w:rsid w:val="001C23F4"/>
    <w:rsid w:val="001C3928"/>
    <w:rsid w:val="001C3932"/>
    <w:rsid w:val="001C4F79"/>
    <w:rsid w:val="001D19E5"/>
    <w:rsid w:val="001D2A3F"/>
    <w:rsid w:val="001D5AE1"/>
    <w:rsid w:val="001D77A6"/>
    <w:rsid w:val="001E002F"/>
    <w:rsid w:val="001E346B"/>
    <w:rsid w:val="001E3ACA"/>
    <w:rsid w:val="001E5F31"/>
    <w:rsid w:val="001E792E"/>
    <w:rsid w:val="001F038C"/>
    <w:rsid w:val="001F168B"/>
    <w:rsid w:val="001F4125"/>
    <w:rsid w:val="001F45AC"/>
    <w:rsid w:val="001F555E"/>
    <w:rsid w:val="001F7831"/>
    <w:rsid w:val="00204045"/>
    <w:rsid w:val="0020456D"/>
    <w:rsid w:val="00204C9F"/>
    <w:rsid w:val="0020712B"/>
    <w:rsid w:val="00210370"/>
    <w:rsid w:val="00212C81"/>
    <w:rsid w:val="00213052"/>
    <w:rsid w:val="00215F42"/>
    <w:rsid w:val="0021716B"/>
    <w:rsid w:val="00217467"/>
    <w:rsid w:val="00220080"/>
    <w:rsid w:val="002220F5"/>
    <w:rsid w:val="0022348C"/>
    <w:rsid w:val="0022358F"/>
    <w:rsid w:val="002249D6"/>
    <w:rsid w:val="00224ADE"/>
    <w:rsid w:val="0022550C"/>
    <w:rsid w:val="002257F9"/>
    <w:rsid w:val="00225939"/>
    <w:rsid w:val="0022606D"/>
    <w:rsid w:val="00226F1B"/>
    <w:rsid w:val="00227E66"/>
    <w:rsid w:val="00230FD3"/>
    <w:rsid w:val="00231728"/>
    <w:rsid w:val="002326CC"/>
    <w:rsid w:val="00233976"/>
    <w:rsid w:val="00233F5B"/>
    <w:rsid w:val="002366C7"/>
    <w:rsid w:val="002368A4"/>
    <w:rsid w:val="00236D02"/>
    <w:rsid w:val="00237C89"/>
    <w:rsid w:val="00240990"/>
    <w:rsid w:val="0024373A"/>
    <w:rsid w:val="00244A05"/>
    <w:rsid w:val="00245472"/>
    <w:rsid w:val="00245D6E"/>
    <w:rsid w:val="0024653A"/>
    <w:rsid w:val="00247A4C"/>
    <w:rsid w:val="00250404"/>
    <w:rsid w:val="002511CE"/>
    <w:rsid w:val="00253C94"/>
    <w:rsid w:val="00253F03"/>
    <w:rsid w:val="00254627"/>
    <w:rsid w:val="00255083"/>
    <w:rsid w:val="00256095"/>
    <w:rsid w:val="0025666B"/>
    <w:rsid w:val="00256B74"/>
    <w:rsid w:val="002576AB"/>
    <w:rsid w:val="00257804"/>
    <w:rsid w:val="0026014F"/>
    <w:rsid w:val="002610D8"/>
    <w:rsid w:val="002654E7"/>
    <w:rsid w:val="002662FF"/>
    <w:rsid w:val="002665D7"/>
    <w:rsid w:val="0026707B"/>
    <w:rsid w:val="0026792A"/>
    <w:rsid w:val="00267971"/>
    <w:rsid w:val="0027138F"/>
    <w:rsid w:val="00273559"/>
    <w:rsid w:val="002736E9"/>
    <w:rsid w:val="002747EC"/>
    <w:rsid w:val="00274FE7"/>
    <w:rsid w:val="00275070"/>
    <w:rsid w:val="0027688F"/>
    <w:rsid w:val="00280A25"/>
    <w:rsid w:val="002855BF"/>
    <w:rsid w:val="00290A7C"/>
    <w:rsid w:val="00291205"/>
    <w:rsid w:val="00293437"/>
    <w:rsid w:val="00293F09"/>
    <w:rsid w:val="0029702E"/>
    <w:rsid w:val="002A1B81"/>
    <w:rsid w:val="002A4A51"/>
    <w:rsid w:val="002A4F7C"/>
    <w:rsid w:val="002A5B17"/>
    <w:rsid w:val="002A5DAE"/>
    <w:rsid w:val="002B1A43"/>
    <w:rsid w:val="002B2988"/>
    <w:rsid w:val="002B4C86"/>
    <w:rsid w:val="002B62F6"/>
    <w:rsid w:val="002B7560"/>
    <w:rsid w:val="002B7FFE"/>
    <w:rsid w:val="002C06FC"/>
    <w:rsid w:val="002C0B5C"/>
    <w:rsid w:val="002C1480"/>
    <w:rsid w:val="002C4899"/>
    <w:rsid w:val="002C69B1"/>
    <w:rsid w:val="002C6E1C"/>
    <w:rsid w:val="002C7135"/>
    <w:rsid w:val="002D0140"/>
    <w:rsid w:val="002D209B"/>
    <w:rsid w:val="002D2670"/>
    <w:rsid w:val="002D2A81"/>
    <w:rsid w:val="002D2F78"/>
    <w:rsid w:val="002D3E8E"/>
    <w:rsid w:val="002D3EDD"/>
    <w:rsid w:val="002D3F09"/>
    <w:rsid w:val="002D4088"/>
    <w:rsid w:val="002D4698"/>
    <w:rsid w:val="002D50C8"/>
    <w:rsid w:val="002D6C35"/>
    <w:rsid w:val="002E675C"/>
    <w:rsid w:val="002E6ABF"/>
    <w:rsid w:val="002E6DB6"/>
    <w:rsid w:val="002E6F83"/>
    <w:rsid w:val="002F0455"/>
    <w:rsid w:val="002F0D22"/>
    <w:rsid w:val="002F10D6"/>
    <w:rsid w:val="002F2F92"/>
    <w:rsid w:val="002F436A"/>
    <w:rsid w:val="002F48E6"/>
    <w:rsid w:val="002F62D1"/>
    <w:rsid w:val="002F6764"/>
    <w:rsid w:val="002F6E3F"/>
    <w:rsid w:val="002F712A"/>
    <w:rsid w:val="00300641"/>
    <w:rsid w:val="0030386A"/>
    <w:rsid w:val="00304535"/>
    <w:rsid w:val="00306EB2"/>
    <w:rsid w:val="00307E6C"/>
    <w:rsid w:val="003111BF"/>
    <w:rsid w:val="00311B17"/>
    <w:rsid w:val="00311B89"/>
    <w:rsid w:val="0031206B"/>
    <w:rsid w:val="00312F0C"/>
    <w:rsid w:val="003134C3"/>
    <w:rsid w:val="003150CF"/>
    <w:rsid w:val="00315FA8"/>
    <w:rsid w:val="003172DC"/>
    <w:rsid w:val="00320631"/>
    <w:rsid w:val="00321B6B"/>
    <w:rsid w:val="003223DB"/>
    <w:rsid w:val="00322A70"/>
    <w:rsid w:val="0032318E"/>
    <w:rsid w:val="00323B2C"/>
    <w:rsid w:val="003247E9"/>
    <w:rsid w:val="00324E70"/>
    <w:rsid w:val="00325670"/>
    <w:rsid w:val="00325AE3"/>
    <w:rsid w:val="00326069"/>
    <w:rsid w:val="00330483"/>
    <w:rsid w:val="003312D0"/>
    <w:rsid w:val="00340199"/>
    <w:rsid w:val="00340F2D"/>
    <w:rsid w:val="00343AE7"/>
    <w:rsid w:val="0034450C"/>
    <w:rsid w:val="00344B66"/>
    <w:rsid w:val="00345484"/>
    <w:rsid w:val="00345A74"/>
    <w:rsid w:val="00345C15"/>
    <w:rsid w:val="00346F49"/>
    <w:rsid w:val="003500D3"/>
    <w:rsid w:val="0035398F"/>
    <w:rsid w:val="00353AF9"/>
    <w:rsid w:val="0035462D"/>
    <w:rsid w:val="0035495D"/>
    <w:rsid w:val="003552EE"/>
    <w:rsid w:val="00355B4B"/>
    <w:rsid w:val="0036259C"/>
    <w:rsid w:val="003633E2"/>
    <w:rsid w:val="0036459E"/>
    <w:rsid w:val="00364B41"/>
    <w:rsid w:val="0036661D"/>
    <w:rsid w:val="00366BCE"/>
    <w:rsid w:val="003674D1"/>
    <w:rsid w:val="00371CDB"/>
    <w:rsid w:val="00371F01"/>
    <w:rsid w:val="0037255E"/>
    <w:rsid w:val="00376FD7"/>
    <w:rsid w:val="003773EA"/>
    <w:rsid w:val="00380DFA"/>
    <w:rsid w:val="003829C3"/>
    <w:rsid w:val="00382A36"/>
    <w:rsid w:val="00383096"/>
    <w:rsid w:val="00385A47"/>
    <w:rsid w:val="00390B84"/>
    <w:rsid w:val="0039346C"/>
    <w:rsid w:val="0039614B"/>
    <w:rsid w:val="00397220"/>
    <w:rsid w:val="003975B1"/>
    <w:rsid w:val="00397BB6"/>
    <w:rsid w:val="003A18C6"/>
    <w:rsid w:val="003A41EF"/>
    <w:rsid w:val="003A4ED8"/>
    <w:rsid w:val="003A65C6"/>
    <w:rsid w:val="003A6A44"/>
    <w:rsid w:val="003B0D3D"/>
    <w:rsid w:val="003B17F2"/>
    <w:rsid w:val="003B1AB1"/>
    <w:rsid w:val="003B3CB5"/>
    <w:rsid w:val="003B40AD"/>
    <w:rsid w:val="003B46F2"/>
    <w:rsid w:val="003B5B97"/>
    <w:rsid w:val="003B68EC"/>
    <w:rsid w:val="003B69AE"/>
    <w:rsid w:val="003C2B07"/>
    <w:rsid w:val="003C3218"/>
    <w:rsid w:val="003C3D6F"/>
    <w:rsid w:val="003C4625"/>
    <w:rsid w:val="003C4E37"/>
    <w:rsid w:val="003C7DC7"/>
    <w:rsid w:val="003D0FD0"/>
    <w:rsid w:val="003D100D"/>
    <w:rsid w:val="003D1248"/>
    <w:rsid w:val="003D1741"/>
    <w:rsid w:val="003D38F6"/>
    <w:rsid w:val="003D4F74"/>
    <w:rsid w:val="003D6077"/>
    <w:rsid w:val="003D6B42"/>
    <w:rsid w:val="003D7931"/>
    <w:rsid w:val="003D7AAB"/>
    <w:rsid w:val="003E00FA"/>
    <w:rsid w:val="003E16BE"/>
    <w:rsid w:val="003E1B9D"/>
    <w:rsid w:val="003E1F01"/>
    <w:rsid w:val="003E5AE2"/>
    <w:rsid w:val="003E7C33"/>
    <w:rsid w:val="003F123D"/>
    <w:rsid w:val="003F1E29"/>
    <w:rsid w:val="003F2CC7"/>
    <w:rsid w:val="003F3B1B"/>
    <w:rsid w:val="003F4E28"/>
    <w:rsid w:val="003F76B6"/>
    <w:rsid w:val="004006E8"/>
    <w:rsid w:val="00400B9E"/>
    <w:rsid w:val="00401855"/>
    <w:rsid w:val="00401B41"/>
    <w:rsid w:val="0040470A"/>
    <w:rsid w:val="004048BB"/>
    <w:rsid w:val="004049E0"/>
    <w:rsid w:val="00404F4C"/>
    <w:rsid w:val="0040522F"/>
    <w:rsid w:val="00410547"/>
    <w:rsid w:val="00411B5A"/>
    <w:rsid w:val="00414D01"/>
    <w:rsid w:val="00416552"/>
    <w:rsid w:val="0041744B"/>
    <w:rsid w:val="00420BA1"/>
    <w:rsid w:val="00420D51"/>
    <w:rsid w:val="00421A3C"/>
    <w:rsid w:val="00422432"/>
    <w:rsid w:val="00422CBC"/>
    <w:rsid w:val="00423131"/>
    <w:rsid w:val="004265AB"/>
    <w:rsid w:val="004354F3"/>
    <w:rsid w:val="00435CA8"/>
    <w:rsid w:val="004440D2"/>
    <w:rsid w:val="00446C3A"/>
    <w:rsid w:val="004525D8"/>
    <w:rsid w:val="004548EF"/>
    <w:rsid w:val="00455654"/>
    <w:rsid w:val="004567E9"/>
    <w:rsid w:val="0046034A"/>
    <w:rsid w:val="0046199C"/>
    <w:rsid w:val="00461AB4"/>
    <w:rsid w:val="00461EF6"/>
    <w:rsid w:val="00462A33"/>
    <w:rsid w:val="00463444"/>
    <w:rsid w:val="004634C1"/>
    <w:rsid w:val="0046515B"/>
    <w:rsid w:val="004651D1"/>
    <w:rsid w:val="00465587"/>
    <w:rsid w:val="00465D5D"/>
    <w:rsid w:val="00466616"/>
    <w:rsid w:val="00470800"/>
    <w:rsid w:val="00471418"/>
    <w:rsid w:val="00474ABB"/>
    <w:rsid w:val="00475A5D"/>
    <w:rsid w:val="00476072"/>
    <w:rsid w:val="00477150"/>
    <w:rsid w:val="00477455"/>
    <w:rsid w:val="00481511"/>
    <w:rsid w:val="00483950"/>
    <w:rsid w:val="004839FF"/>
    <w:rsid w:val="00483D90"/>
    <w:rsid w:val="00486BB1"/>
    <w:rsid w:val="0049009A"/>
    <w:rsid w:val="00493B2E"/>
    <w:rsid w:val="0049631C"/>
    <w:rsid w:val="00496CA7"/>
    <w:rsid w:val="004A1F7B"/>
    <w:rsid w:val="004A2961"/>
    <w:rsid w:val="004A4AE3"/>
    <w:rsid w:val="004A4BFA"/>
    <w:rsid w:val="004A5576"/>
    <w:rsid w:val="004A65E7"/>
    <w:rsid w:val="004A74A8"/>
    <w:rsid w:val="004A7DDA"/>
    <w:rsid w:val="004B29DF"/>
    <w:rsid w:val="004B5602"/>
    <w:rsid w:val="004C0916"/>
    <w:rsid w:val="004C2F8F"/>
    <w:rsid w:val="004C4317"/>
    <w:rsid w:val="004C44D2"/>
    <w:rsid w:val="004C73A6"/>
    <w:rsid w:val="004C75C0"/>
    <w:rsid w:val="004D0EBA"/>
    <w:rsid w:val="004D2C61"/>
    <w:rsid w:val="004D2DC6"/>
    <w:rsid w:val="004D3578"/>
    <w:rsid w:val="004D379B"/>
    <w:rsid w:val="004D380D"/>
    <w:rsid w:val="004E00CA"/>
    <w:rsid w:val="004E213A"/>
    <w:rsid w:val="004E3037"/>
    <w:rsid w:val="004E44BE"/>
    <w:rsid w:val="004E48CB"/>
    <w:rsid w:val="004E5125"/>
    <w:rsid w:val="004E7553"/>
    <w:rsid w:val="004E7849"/>
    <w:rsid w:val="004F3839"/>
    <w:rsid w:val="004F4540"/>
    <w:rsid w:val="004F4A06"/>
    <w:rsid w:val="004F5F30"/>
    <w:rsid w:val="004F6827"/>
    <w:rsid w:val="004F73A7"/>
    <w:rsid w:val="004F73F2"/>
    <w:rsid w:val="004F7F9F"/>
    <w:rsid w:val="00500AC5"/>
    <w:rsid w:val="00501B95"/>
    <w:rsid w:val="00503171"/>
    <w:rsid w:val="00503735"/>
    <w:rsid w:val="0050576E"/>
    <w:rsid w:val="00505917"/>
    <w:rsid w:val="00506C28"/>
    <w:rsid w:val="00506D17"/>
    <w:rsid w:val="0051162E"/>
    <w:rsid w:val="00513479"/>
    <w:rsid w:val="005143AC"/>
    <w:rsid w:val="00514E5D"/>
    <w:rsid w:val="005150AB"/>
    <w:rsid w:val="0051519D"/>
    <w:rsid w:val="005151B3"/>
    <w:rsid w:val="00520B89"/>
    <w:rsid w:val="00520FB3"/>
    <w:rsid w:val="00524297"/>
    <w:rsid w:val="00524BCD"/>
    <w:rsid w:val="005260C3"/>
    <w:rsid w:val="00526CC6"/>
    <w:rsid w:val="005323B7"/>
    <w:rsid w:val="00532491"/>
    <w:rsid w:val="005329FB"/>
    <w:rsid w:val="00534DA0"/>
    <w:rsid w:val="00535430"/>
    <w:rsid w:val="00536B57"/>
    <w:rsid w:val="00537489"/>
    <w:rsid w:val="005374AB"/>
    <w:rsid w:val="00537809"/>
    <w:rsid w:val="00541257"/>
    <w:rsid w:val="00541A65"/>
    <w:rsid w:val="00541BAF"/>
    <w:rsid w:val="00542C17"/>
    <w:rsid w:val="005432D9"/>
    <w:rsid w:val="00543E6C"/>
    <w:rsid w:val="0054410E"/>
    <w:rsid w:val="005453A7"/>
    <w:rsid w:val="00546876"/>
    <w:rsid w:val="005471FE"/>
    <w:rsid w:val="005473ED"/>
    <w:rsid w:val="0055142C"/>
    <w:rsid w:val="00552EA5"/>
    <w:rsid w:val="00553DCC"/>
    <w:rsid w:val="00555AEB"/>
    <w:rsid w:val="00556216"/>
    <w:rsid w:val="00556CEF"/>
    <w:rsid w:val="00556EC4"/>
    <w:rsid w:val="0055772C"/>
    <w:rsid w:val="00560749"/>
    <w:rsid w:val="00560B24"/>
    <w:rsid w:val="005646A4"/>
    <w:rsid w:val="00565087"/>
    <w:rsid w:val="0056573F"/>
    <w:rsid w:val="005662D0"/>
    <w:rsid w:val="00567691"/>
    <w:rsid w:val="005707B6"/>
    <w:rsid w:val="005710C6"/>
    <w:rsid w:val="00571279"/>
    <w:rsid w:val="0057226E"/>
    <w:rsid w:val="005727F1"/>
    <w:rsid w:val="00573250"/>
    <w:rsid w:val="00574461"/>
    <w:rsid w:val="00575FC5"/>
    <w:rsid w:val="00577B89"/>
    <w:rsid w:val="005818E1"/>
    <w:rsid w:val="00582B0D"/>
    <w:rsid w:val="005860E8"/>
    <w:rsid w:val="0058744A"/>
    <w:rsid w:val="005909FB"/>
    <w:rsid w:val="00591333"/>
    <w:rsid w:val="005942C6"/>
    <w:rsid w:val="005943E5"/>
    <w:rsid w:val="005946C0"/>
    <w:rsid w:val="00595AEC"/>
    <w:rsid w:val="00595F62"/>
    <w:rsid w:val="00596105"/>
    <w:rsid w:val="005A13AB"/>
    <w:rsid w:val="005A2032"/>
    <w:rsid w:val="005A49C6"/>
    <w:rsid w:val="005A5862"/>
    <w:rsid w:val="005A5975"/>
    <w:rsid w:val="005B0A9F"/>
    <w:rsid w:val="005B1CF5"/>
    <w:rsid w:val="005B2EE0"/>
    <w:rsid w:val="005B4C3F"/>
    <w:rsid w:val="005B5898"/>
    <w:rsid w:val="005C01CC"/>
    <w:rsid w:val="005C0E92"/>
    <w:rsid w:val="005C0EB0"/>
    <w:rsid w:val="005C2285"/>
    <w:rsid w:val="005C5477"/>
    <w:rsid w:val="005C625D"/>
    <w:rsid w:val="005C6318"/>
    <w:rsid w:val="005C766E"/>
    <w:rsid w:val="005C7CD5"/>
    <w:rsid w:val="005D1961"/>
    <w:rsid w:val="005D25FD"/>
    <w:rsid w:val="005D260C"/>
    <w:rsid w:val="005D5846"/>
    <w:rsid w:val="005D5922"/>
    <w:rsid w:val="005D7C07"/>
    <w:rsid w:val="005E0B7F"/>
    <w:rsid w:val="005E1E88"/>
    <w:rsid w:val="005E214E"/>
    <w:rsid w:val="005E3AD8"/>
    <w:rsid w:val="005E4D20"/>
    <w:rsid w:val="005E5382"/>
    <w:rsid w:val="005E5C89"/>
    <w:rsid w:val="005E76CC"/>
    <w:rsid w:val="005E7C32"/>
    <w:rsid w:val="005F07F6"/>
    <w:rsid w:val="005F0DE5"/>
    <w:rsid w:val="005F415B"/>
    <w:rsid w:val="005F6F36"/>
    <w:rsid w:val="00600DE0"/>
    <w:rsid w:val="00601BC0"/>
    <w:rsid w:val="00602D3C"/>
    <w:rsid w:val="006034DA"/>
    <w:rsid w:val="00603DD1"/>
    <w:rsid w:val="006042D6"/>
    <w:rsid w:val="00611566"/>
    <w:rsid w:val="00611703"/>
    <w:rsid w:val="006121AD"/>
    <w:rsid w:val="00612734"/>
    <w:rsid w:val="006146E1"/>
    <w:rsid w:val="0061608A"/>
    <w:rsid w:val="00620441"/>
    <w:rsid w:val="00621AC7"/>
    <w:rsid w:val="00621DA1"/>
    <w:rsid w:val="00622B9B"/>
    <w:rsid w:val="006239AB"/>
    <w:rsid w:val="00625E74"/>
    <w:rsid w:val="00627470"/>
    <w:rsid w:val="00630228"/>
    <w:rsid w:val="00630273"/>
    <w:rsid w:val="006303DA"/>
    <w:rsid w:val="006328AE"/>
    <w:rsid w:val="00632E84"/>
    <w:rsid w:val="00633BC4"/>
    <w:rsid w:val="00634991"/>
    <w:rsid w:val="00635E31"/>
    <w:rsid w:val="00635EC8"/>
    <w:rsid w:val="006371F9"/>
    <w:rsid w:val="00637400"/>
    <w:rsid w:val="00643FF5"/>
    <w:rsid w:val="00644458"/>
    <w:rsid w:val="00645944"/>
    <w:rsid w:val="00646D99"/>
    <w:rsid w:val="006473F3"/>
    <w:rsid w:val="00647452"/>
    <w:rsid w:val="00647D51"/>
    <w:rsid w:val="0065091A"/>
    <w:rsid w:val="00652764"/>
    <w:rsid w:val="006540BA"/>
    <w:rsid w:val="0065550D"/>
    <w:rsid w:val="00655F11"/>
    <w:rsid w:val="00656910"/>
    <w:rsid w:val="006574C0"/>
    <w:rsid w:val="006609D1"/>
    <w:rsid w:val="00661D99"/>
    <w:rsid w:val="006628EB"/>
    <w:rsid w:val="00664F33"/>
    <w:rsid w:val="0066507B"/>
    <w:rsid w:val="00665751"/>
    <w:rsid w:val="006659FD"/>
    <w:rsid w:val="00666C94"/>
    <w:rsid w:val="00670B9D"/>
    <w:rsid w:val="00671657"/>
    <w:rsid w:val="00672410"/>
    <w:rsid w:val="006729B2"/>
    <w:rsid w:val="006737F9"/>
    <w:rsid w:val="006803CF"/>
    <w:rsid w:val="00680E7C"/>
    <w:rsid w:val="00681EF6"/>
    <w:rsid w:val="00683741"/>
    <w:rsid w:val="00683FAF"/>
    <w:rsid w:val="006871D4"/>
    <w:rsid w:val="00692B02"/>
    <w:rsid w:val="00693537"/>
    <w:rsid w:val="00694BC0"/>
    <w:rsid w:val="00696314"/>
    <w:rsid w:val="00696821"/>
    <w:rsid w:val="006978EE"/>
    <w:rsid w:val="006A307A"/>
    <w:rsid w:val="006A3F23"/>
    <w:rsid w:val="006A4994"/>
    <w:rsid w:val="006A58FC"/>
    <w:rsid w:val="006A6075"/>
    <w:rsid w:val="006A7978"/>
    <w:rsid w:val="006B1D0A"/>
    <w:rsid w:val="006B3E22"/>
    <w:rsid w:val="006B409E"/>
    <w:rsid w:val="006B5A1E"/>
    <w:rsid w:val="006B61CA"/>
    <w:rsid w:val="006B76FC"/>
    <w:rsid w:val="006C0901"/>
    <w:rsid w:val="006C4295"/>
    <w:rsid w:val="006C55DF"/>
    <w:rsid w:val="006C56E4"/>
    <w:rsid w:val="006C66D8"/>
    <w:rsid w:val="006D0329"/>
    <w:rsid w:val="006D1BC6"/>
    <w:rsid w:val="006D1E24"/>
    <w:rsid w:val="006D2D29"/>
    <w:rsid w:val="006D35DE"/>
    <w:rsid w:val="006E1057"/>
    <w:rsid w:val="006E11CB"/>
    <w:rsid w:val="006E1417"/>
    <w:rsid w:val="006E14C3"/>
    <w:rsid w:val="006E4DD3"/>
    <w:rsid w:val="006F3EC4"/>
    <w:rsid w:val="006F5619"/>
    <w:rsid w:val="006F6014"/>
    <w:rsid w:val="006F6A2C"/>
    <w:rsid w:val="00700557"/>
    <w:rsid w:val="00700678"/>
    <w:rsid w:val="0070306A"/>
    <w:rsid w:val="00704C86"/>
    <w:rsid w:val="007069DC"/>
    <w:rsid w:val="00710201"/>
    <w:rsid w:val="007115EA"/>
    <w:rsid w:val="0071223C"/>
    <w:rsid w:val="00712F52"/>
    <w:rsid w:val="00712F64"/>
    <w:rsid w:val="00713BC0"/>
    <w:rsid w:val="007142FD"/>
    <w:rsid w:val="00716461"/>
    <w:rsid w:val="007168D9"/>
    <w:rsid w:val="007178B0"/>
    <w:rsid w:val="0072073A"/>
    <w:rsid w:val="00721DA4"/>
    <w:rsid w:val="00722495"/>
    <w:rsid w:val="00723B23"/>
    <w:rsid w:val="00723DCC"/>
    <w:rsid w:val="00725C46"/>
    <w:rsid w:val="00726F0E"/>
    <w:rsid w:val="0073044F"/>
    <w:rsid w:val="00730493"/>
    <w:rsid w:val="00730AD2"/>
    <w:rsid w:val="00730BB9"/>
    <w:rsid w:val="007320BF"/>
    <w:rsid w:val="007321EF"/>
    <w:rsid w:val="00732E5B"/>
    <w:rsid w:val="007342B5"/>
    <w:rsid w:val="0073450D"/>
    <w:rsid w:val="00734A5B"/>
    <w:rsid w:val="00734F91"/>
    <w:rsid w:val="00734FB8"/>
    <w:rsid w:val="00735ADD"/>
    <w:rsid w:val="00736594"/>
    <w:rsid w:val="00737A38"/>
    <w:rsid w:val="00737FBF"/>
    <w:rsid w:val="00740556"/>
    <w:rsid w:val="00740E88"/>
    <w:rsid w:val="00742432"/>
    <w:rsid w:val="0074388C"/>
    <w:rsid w:val="00744E76"/>
    <w:rsid w:val="00746877"/>
    <w:rsid w:val="00746B1A"/>
    <w:rsid w:val="00747991"/>
    <w:rsid w:val="007501BB"/>
    <w:rsid w:val="00751DFC"/>
    <w:rsid w:val="00752513"/>
    <w:rsid w:val="007527AA"/>
    <w:rsid w:val="00754AE3"/>
    <w:rsid w:val="0075542D"/>
    <w:rsid w:val="0075728C"/>
    <w:rsid w:val="007574FA"/>
    <w:rsid w:val="00757D40"/>
    <w:rsid w:val="00760319"/>
    <w:rsid w:val="00760E34"/>
    <w:rsid w:val="007610C8"/>
    <w:rsid w:val="0076169F"/>
    <w:rsid w:val="00761C42"/>
    <w:rsid w:val="007641D2"/>
    <w:rsid w:val="007646EA"/>
    <w:rsid w:val="007662B5"/>
    <w:rsid w:val="00770A96"/>
    <w:rsid w:val="00772A3E"/>
    <w:rsid w:val="007755D9"/>
    <w:rsid w:val="0077697C"/>
    <w:rsid w:val="00776FF6"/>
    <w:rsid w:val="00781F0F"/>
    <w:rsid w:val="00782976"/>
    <w:rsid w:val="00782DC8"/>
    <w:rsid w:val="0078434F"/>
    <w:rsid w:val="00785DE5"/>
    <w:rsid w:val="007865DD"/>
    <w:rsid w:val="0078727C"/>
    <w:rsid w:val="0079049D"/>
    <w:rsid w:val="00791E08"/>
    <w:rsid w:val="007921F7"/>
    <w:rsid w:val="0079291A"/>
    <w:rsid w:val="00792BEF"/>
    <w:rsid w:val="00792C9E"/>
    <w:rsid w:val="00793DC5"/>
    <w:rsid w:val="00795EFB"/>
    <w:rsid w:val="00796823"/>
    <w:rsid w:val="00796EEE"/>
    <w:rsid w:val="007A066E"/>
    <w:rsid w:val="007A10DE"/>
    <w:rsid w:val="007A2E55"/>
    <w:rsid w:val="007A37EF"/>
    <w:rsid w:val="007A44B6"/>
    <w:rsid w:val="007A47C4"/>
    <w:rsid w:val="007A6C62"/>
    <w:rsid w:val="007A6DC8"/>
    <w:rsid w:val="007A7CD4"/>
    <w:rsid w:val="007B18D8"/>
    <w:rsid w:val="007B2162"/>
    <w:rsid w:val="007C095F"/>
    <w:rsid w:val="007C1852"/>
    <w:rsid w:val="007C2DD0"/>
    <w:rsid w:val="007C2F0E"/>
    <w:rsid w:val="007C5335"/>
    <w:rsid w:val="007D1757"/>
    <w:rsid w:val="007D1BAD"/>
    <w:rsid w:val="007D53FE"/>
    <w:rsid w:val="007D5EF2"/>
    <w:rsid w:val="007D72FB"/>
    <w:rsid w:val="007D793B"/>
    <w:rsid w:val="007E3428"/>
    <w:rsid w:val="007E69F1"/>
    <w:rsid w:val="007F0603"/>
    <w:rsid w:val="007F0857"/>
    <w:rsid w:val="007F2E08"/>
    <w:rsid w:val="007F6FF9"/>
    <w:rsid w:val="007F7DD2"/>
    <w:rsid w:val="0080091C"/>
    <w:rsid w:val="00801D09"/>
    <w:rsid w:val="008024FA"/>
    <w:rsid w:val="008028A4"/>
    <w:rsid w:val="00804EB0"/>
    <w:rsid w:val="008076EF"/>
    <w:rsid w:val="00811629"/>
    <w:rsid w:val="00813245"/>
    <w:rsid w:val="00814C59"/>
    <w:rsid w:val="008160B0"/>
    <w:rsid w:val="00822BF5"/>
    <w:rsid w:val="008278EF"/>
    <w:rsid w:val="008312DF"/>
    <w:rsid w:val="00835CFF"/>
    <w:rsid w:val="00835F6E"/>
    <w:rsid w:val="00836757"/>
    <w:rsid w:val="00837FE5"/>
    <w:rsid w:val="00840AD2"/>
    <w:rsid w:val="00840DE0"/>
    <w:rsid w:val="00841440"/>
    <w:rsid w:val="00842471"/>
    <w:rsid w:val="0084318A"/>
    <w:rsid w:val="00845BBD"/>
    <w:rsid w:val="00847CD0"/>
    <w:rsid w:val="0085240D"/>
    <w:rsid w:val="008563A6"/>
    <w:rsid w:val="008607A8"/>
    <w:rsid w:val="0086354A"/>
    <w:rsid w:val="0086431E"/>
    <w:rsid w:val="008648CE"/>
    <w:rsid w:val="008656A0"/>
    <w:rsid w:val="00870D3E"/>
    <w:rsid w:val="00870E30"/>
    <w:rsid w:val="008737C0"/>
    <w:rsid w:val="008739ED"/>
    <w:rsid w:val="00874136"/>
    <w:rsid w:val="008750AC"/>
    <w:rsid w:val="00875AD9"/>
    <w:rsid w:val="008768CA"/>
    <w:rsid w:val="00877754"/>
    <w:rsid w:val="00877B6B"/>
    <w:rsid w:val="00877EF9"/>
    <w:rsid w:val="00880559"/>
    <w:rsid w:val="00881559"/>
    <w:rsid w:val="008817F7"/>
    <w:rsid w:val="00881922"/>
    <w:rsid w:val="008821DF"/>
    <w:rsid w:val="00886BB4"/>
    <w:rsid w:val="00890087"/>
    <w:rsid w:val="008903A3"/>
    <w:rsid w:val="00890EB8"/>
    <w:rsid w:val="00895199"/>
    <w:rsid w:val="00896A8C"/>
    <w:rsid w:val="00897A51"/>
    <w:rsid w:val="008A014D"/>
    <w:rsid w:val="008A0D40"/>
    <w:rsid w:val="008A26B2"/>
    <w:rsid w:val="008A343E"/>
    <w:rsid w:val="008B101E"/>
    <w:rsid w:val="008B4E12"/>
    <w:rsid w:val="008B5306"/>
    <w:rsid w:val="008B549E"/>
    <w:rsid w:val="008B54E8"/>
    <w:rsid w:val="008C0C71"/>
    <w:rsid w:val="008C2E2A"/>
    <w:rsid w:val="008C3057"/>
    <w:rsid w:val="008C3884"/>
    <w:rsid w:val="008C40E1"/>
    <w:rsid w:val="008C50DA"/>
    <w:rsid w:val="008D08E5"/>
    <w:rsid w:val="008D0C8C"/>
    <w:rsid w:val="008D2E4D"/>
    <w:rsid w:val="008D3112"/>
    <w:rsid w:val="008D3DBD"/>
    <w:rsid w:val="008D5D32"/>
    <w:rsid w:val="008D7BCE"/>
    <w:rsid w:val="008D7F42"/>
    <w:rsid w:val="008E3339"/>
    <w:rsid w:val="008E3B0A"/>
    <w:rsid w:val="008E5063"/>
    <w:rsid w:val="008E7441"/>
    <w:rsid w:val="008E7FF4"/>
    <w:rsid w:val="008F1EC3"/>
    <w:rsid w:val="008F26C8"/>
    <w:rsid w:val="008F396F"/>
    <w:rsid w:val="008F3DCD"/>
    <w:rsid w:val="008F3EAD"/>
    <w:rsid w:val="008F3F02"/>
    <w:rsid w:val="008F50DB"/>
    <w:rsid w:val="008F5519"/>
    <w:rsid w:val="008F74CA"/>
    <w:rsid w:val="00900D0E"/>
    <w:rsid w:val="0090271F"/>
    <w:rsid w:val="00902DB9"/>
    <w:rsid w:val="0090309D"/>
    <w:rsid w:val="00903562"/>
    <w:rsid w:val="009035C8"/>
    <w:rsid w:val="009036D4"/>
    <w:rsid w:val="0090466A"/>
    <w:rsid w:val="00904E25"/>
    <w:rsid w:val="00905E5A"/>
    <w:rsid w:val="00907FB2"/>
    <w:rsid w:val="00911F55"/>
    <w:rsid w:val="009135C6"/>
    <w:rsid w:val="009176DF"/>
    <w:rsid w:val="009177F3"/>
    <w:rsid w:val="0092004E"/>
    <w:rsid w:val="00920368"/>
    <w:rsid w:val="00920A60"/>
    <w:rsid w:val="00920EA2"/>
    <w:rsid w:val="00923655"/>
    <w:rsid w:val="00924554"/>
    <w:rsid w:val="009248C6"/>
    <w:rsid w:val="009252DE"/>
    <w:rsid w:val="009277CF"/>
    <w:rsid w:val="00930276"/>
    <w:rsid w:val="009308C2"/>
    <w:rsid w:val="0093098B"/>
    <w:rsid w:val="0093229D"/>
    <w:rsid w:val="009339CB"/>
    <w:rsid w:val="0093478C"/>
    <w:rsid w:val="00936071"/>
    <w:rsid w:val="0093621C"/>
    <w:rsid w:val="00936C9E"/>
    <w:rsid w:val="009376CD"/>
    <w:rsid w:val="00937994"/>
    <w:rsid w:val="00940212"/>
    <w:rsid w:val="0094129B"/>
    <w:rsid w:val="00941B2F"/>
    <w:rsid w:val="00942EC2"/>
    <w:rsid w:val="00945830"/>
    <w:rsid w:val="00947076"/>
    <w:rsid w:val="009479CF"/>
    <w:rsid w:val="00947B4D"/>
    <w:rsid w:val="00953AA5"/>
    <w:rsid w:val="00955D04"/>
    <w:rsid w:val="00961B32"/>
    <w:rsid w:val="00962509"/>
    <w:rsid w:val="00964894"/>
    <w:rsid w:val="009648C9"/>
    <w:rsid w:val="009679C8"/>
    <w:rsid w:val="0097033B"/>
    <w:rsid w:val="00970DB3"/>
    <w:rsid w:val="00971B7C"/>
    <w:rsid w:val="00972C42"/>
    <w:rsid w:val="009733F6"/>
    <w:rsid w:val="00974BB0"/>
    <w:rsid w:val="00974C23"/>
    <w:rsid w:val="00975BCD"/>
    <w:rsid w:val="00975FD9"/>
    <w:rsid w:val="00977688"/>
    <w:rsid w:val="00977DF0"/>
    <w:rsid w:val="00977E14"/>
    <w:rsid w:val="00980A56"/>
    <w:rsid w:val="009818A2"/>
    <w:rsid w:val="0098284C"/>
    <w:rsid w:val="00983052"/>
    <w:rsid w:val="009850A0"/>
    <w:rsid w:val="0098618B"/>
    <w:rsid w:val="009861A5"/>
    <w:rsid w:val="009861EB"/>
    <w:rsid w:val="009872B9"/>
    <w:rsid w:val="00987FE0"/>
    <w:rsid w:val="009928A9"/>
    <w:rsid w:val="00994E09"/>
    <w:rsid w:val="00995D32"/>
    <w:rsid w:val="009A054C"/>
    <w:rsid w:val="009A0756"/>
    <w:rsid w:val="009A0AF3"/>
    <w:rsid w:val="009A0D22"/>
    <w:rsid w:val="009A0D98"/>
    <w:rsid w:val="009A1779"/>
    <w:rsid w:val="009A6397"/>
    <w:rsid w:val="009A6F1B"/>
    <w:rsid w:val="009A7481"/>
    <w:rsid w:val="009A7699"/>
    <w:rsid w:val="009B06D4"/>
    <w:rsid w:val="009B07CD"/>
    <w:rsid w:val="009B1068"/>
    <w:rsid w:val="009B19A7"/>
    <w:rsid w:val="009B4D26"/>
    <w:rsid w:val="009B5F6D"/>
    <w:rsid w:val="009B7912"/>
    <w:rsid w:val="009B7C25"/>
    <w:rsid w:val="009C19E9"/>
    <w:rsid w:val="009C1AE5"/>
    <w:rsid w:val="009C2DC2"/>
    <w:rsid w:val="009C32C0"/>
    <w:rsid w:val="009C4D69"/>
    <w:rsid w:val="009C518D"/>
    <w:rsid w:val="009C6864"/>
    <w:rsid w:val="009C6F41"/>
    <w:rsid w:val="009C72B8"/>
    <w:rsid w:val="009C7C04"/>
    <w:rsid w:val="009D314E"/>
    <w:rsid w:val="009D4729"/>
    <w:rsid w:val="009D4B17"/>
    <w:rsid w:val="009D4BFB"/>
    <w:rsid w:val="009D734B"/>
    <w:rsid w:val="009D74A6"/>
    <w:rsid w:val="009E0E87"/>
    <w:rsid w:val="009E2BAD"/>
    <w:rsid w:val="009E5D03"/>
    <w:rsid w:val="009E62F1"/>
    <w:rsid w:val="009E732B"/>
    <w:rsid w:val="009F28D2"/>
    <w:rsid w:val="009F3AE5"/>
    <w:rsid w:val="009F46A7"/>
    <w:rsid w:val="009F58AF"/>
    <w:rsid w:val="009F6EC3"/>
    <w:rsid w:val="00A0004B"/>
    <w:rsid w:val="00A00155"/>
    <w:rsid w:val="00A0077F"/>
    <w:rsid w:val="00A00F5D"/>
    <w:rsid w:val="00A012AB"/>
    <w:rsid w:val="00A0143D"/>
    <w:rsid w:val="00A0435B"/>
    <w:rsid w:val="00A04748"/>
    <w:rsid w:val="00A04AF2"/>
    <w:rsid w:val="00A10F02"/>
    <w:rsid w:val="00A14075"/>
    <w:rsid w:val="00A17176"/>
    <w:rsid w:val="00A1774B"/>
    <w:rsid w:val="00A204CA"/>
    <w:rsid w:val="00A205CD"/>
    <w:rsid w:val="00A209D6"/>
    <w:rsid w:val="00A21BAB"/>
    <w:rsid w:val="00A22738"/>
    <w:rsid w:val="00A22DB9"/>
    <w:rsid w:val="00A22DD6"/>
    <w:rsid w:val="00A23259"/>
    <w:rsid w:val="00A254A4"/>
    <w:rsid w:val="00A259AA"/>
    <w:rsid w:val="00A27CC7"/>
    <w:rsid w:val="00A31974"/>
    <w:rsid w:val="00A320DA"/>
    <w:rsid w:val="00A3290A"/>
    <w:rsid w:val="00A338BF"/>
    <w:rsid w:val="00A33EE1"/>
    <w:rsid w:val="00A34729"/>
    <w:rsid w:val="00A36F5F"/>
    <w:rsid w:val="00A36FBA"/>
    <w:rsid w:val="00A40B30"/>
    <w:rsid w:val="00A411A0"/>
    <w:rsid w:val="00A42CF1"/>
    <w:rsid w:val="00A430EC"/>
    <w:rsid w:val="00A503BC"/>
    <w:rsid w:val="00A52AB2"/>
    <w:rsid w:val="00A53724"/>
    <w:rsid w:val="00A54B2B"/>
    <w:rsid w:val="00A563E2"/>
    <w:rsid w:val="00A60B5F"/>
    <w:rsid w:val="00A624B7"/>
    <w:rsid w:val="00A6305D"/>
    <w:rsid w:val="00A63EC4"/>
    <w:rsid w:val="00A65B2D"/>
    <w:rsid w:val="00A66CAC"/>
    <w:rsid w:val="00A703B6"/>
    <w:rsid w:val="00A70672"/>
    <w:rsid w:val="00A73EAE"/>
    <w:rsid w:val="00A74CBF"/>
    <w:rsid w:val="00A75D06"/>
    <w:rsid w:val="00A809CB"/>
    <w:rsid w:val="00A809D0"/>
    <w:rsid w:val="00A80E92"/>
    <w:rsid w:val="00A82346"/>
    <w:rsid w:val="00A85DEC"/>
    <w:rsid w:val="00A87DA8"/>
    <w:rsid w:val="00A93857"/>
    <w:rsid w:val="00A95746"/>
    <w:rsid w:val="00A96589"/>
    <w:rsid w:val="00A9671C"/>
    <w:rsid w:val="00A96AE2"/>
    <w:rsid w:val="00AA01E5"/>
    <w:rsid w:val="00AA1266"/>
    <w:rsid w:val="00AA14C9"/>
    <w:rsid w:val="00AA1553"/>
    <w:rsid w:val="00AA5EB1"/>
    <w:rsid w:val="00AA6EA5"/>
    <w:rsid w:val="00AB1288"/>
    <w:rsid w:val="00AB3386"/>
    <w:rsid w:val="00AB3BF0"/>
    <w:rsid w:val="00AB49EA"/>
    <w:rsid w:val="00AB608B"/>
    <w:rsid w:val="00AC01B0"/>
    <w:rsid w:val="00AC19E6"/>
    <w:rsid w:val="00AC24C9"/>
    <w:rsid w:val="00AC2E0A"/>
    <w:rsid w:val="00AC5C5B"/>
    <w:rsid w:val="00AC64C1"/>
    <w:rsid w:val="00AD0005"/>
    <w:rsid w:val="00AD1138"/>
    <w:rsid w:val="00AD1234"/>
    <w:rsid w:val="00AD13D0"/>
    <w:rsid w:val="00AD140D"/>
    <w:rsid w:val="00AD29CE"/>
    <w:rsid w:val="00AD418E"/>
    <w:rsid w:val="00AD55B2"/>
    <w:rsid w:val="00AD6927"/>
    <w:rsid w:val="00AD7E7C"/>
    <w:rsid w:val="00AE2D26"/>
    <w:rsid w:val="00AE3E8B"/>
    <w:rsid w:val="00AE4347"/>
    <w:rsid w:val="00AE5CB6"/>
    <w:rsid w:val="00AE63D0"/>
    <w:rsid w:val="00AE7631"/>
    <w:rsid w:val="00AE786C"/>
    <w:rsid w:val="00AE799C"/>
    <w:rsid w:val="00AF4209"/>
    <w:rsid w:val="00AF7110"/>
    <w:rsid w:val="00AF7C8D"/>
    <w:rsid w:val="00AF7F0A"/>
    <w:rsid w:val="00B00C0B"/>
    <w:rsid w:val="00B019D8"/>
    <w:rsid w:val="00B05380"/>
    <w:rsid w:val="00B055A1"/>
    <w:rsid w:val="00B05962"/>
    <w:rsid w:val="00B110F2"/>
    <w:rsid w:val="00B11D00"/>
    <w:rsid w:val="00B13178"/>
    <w:rsid w:val="00B147F7"/>
    <w:rsid w:val="00B15449"/>
    <w:rsid w:val="00B16C2F"/>
    <w:rsid w:val="00B2072F"/>
    <w:rsid w:val="00B22263"/>
    <w:rsid w:val="00B22275"/>
    <w:rsid w:val="00B2231A"/>
    <w:rsid w:val="00B2437E"/>
    <w:rsid w:val="00B24A7E"/>
    <w:rsid w:val="00B27303"/>
    <w:rsid w:val="00B27BFC"/>
    <w:rsid w:val="00B27EE5"/>
    <w:rsid w:val="00B328A8"/>
    <w:rsid w:val="00B348DE"/>
    <w:rsid w:val="00B3492A"/>
    <w:rsid w:val="00B3635C"/>
    <w:rsid w:val="00B373FD"/>
    <w:rsid w:val="00B40F48"/>
    <w:rsid w:val="00B42A90"/>
    <w:rsid w:val="00B45A44"/>
    <w:rsid w:val="00B462D9"/>
    <w:rsid w:val="00B47FD1"/>
    <w:rsid w:val="00B516BB"/>
    <w:rsid w:val="00B537E3"/>
    <w:rsid w:val="00B53969"/>
    <w:rsid w:val="00B54BA6"/>
    <w:rsid w:val="00B553DE"/>
    <w:rsid w:val="00B56CAE"/>
    <w:rsid w:val="00B56E67"/>
    <w:rsid w:val="00B5751D"/>
    <w:rsid w:val="00B60733"/>
    <w:rsid w:val="00B60EA6"/>
    <w:rsid w:val="00B62114"/>
    <w:rsid w:val="00B621BC"/>
    <w:rsid w:val="00B63CE0"/>
    <w:rsid w:val="00B65FC8"/>
    <w:rsid w:val="00B669E9"/>
    <w:rsid w:val="00B702D9"/>
    <w:rsid w:val="00B709D6"/>
    <w:rsid w:val="00B70C2D"/>
    <w:rsid w:val="00B73AC8"/>
    <w:rsid w:val="00B7538C"/>
    <w:rsid w:val="00B75BD2"/>
    <w:rsid w:val="00B8051B"/>
    <w:rsid w:val="00B820EF"/>
    <w:rsid w:val="00B8214B"/>
    <w:rsid w:val="00B833F8"/>
    <w:rsid w:val="00B837FD"/>
    <w:rsid w:val="00B84DB2"/>
    <w:rsid w:val="00B8667D"/>
    <w:rsid w:val="00B86B85"/>
    <w:rsid w:val="00B87F7B"/>
    <w:rsid w:val="00B90D68"/>
    <w:rsid w:val="00B915A4"/>
    <w:rsid w:val="00B921C7"/>
    <w:rsid w:val="00B92E75"/>
    <w:rsid w:val="00B93F4E"/>
    <w:rsid w:val="00B97EDA"/>
    <w:rsid w:val="00BA0B0C"/>
    <w:rsid w:val="00BA5711"/>
    <w:rsid w:val="00BA5E99"/>
    <w:rsid w:val="00BA680C"/>
    <w:rsid w:val="00BB3300"/>
    <w:rsid w:val="00BB38FD"/>
    <w:rsid w:val="00BB4618"/>
    <w:rsid w:val="00BB4B05"/>
    <w:rsid w:val="00BB64EA"/>
    <w:rsid w:val="00BB6D56"/>
    <w:rsid w:val="00BC2617"/>
    <w:rsid w:val="00BC3555"/>
    <w:rsid w:val="00BD0AA5"/>
    <w:rsid w:val="00BD1078"/>
    <w:rsid w:val="00BD1A97"/>
    <w:rsid w:val="00BD2188"/>
    <w:rsid w:val="00BD3CBB"/>
    <w:rsid w:val="00BD5B95"/>
    <w:rsid w:val="00BE193B"/>
    <w:rsid w:val="00BE1B5D"/>
    <w:rsid w:val="00BE1F12"/>
    <w:rsid w:val="00BE2F06"/>
    <w:rsid w:val="00BE2FC1"/>
    <w:rsid w:val="00BE3264"/>
    <w:rsid w:val="00BF0854"/>
    <w:rsid w:val="00BF0D13"/>
    <w:rsid w:val="00BF0EC4"/>
    <w:rsid w:val="00BF1BDF"/>
    <w:rsid w:val="00BF379E"/>
    <w:rsid w:val="00BF3D2C"/>
    <w:rsid w:val="00BF40D6"/>
    <w:rsid w:val="00BF5539"/>
    <w:rsid w:val="00BF7D04"/>
    <w:rsid w:val="00BF7D93"/>
    <w:rsid w:val="00BF7ED6"/>
    <w:rsid w:val="00C01849"/>
    <w:rsid w:val="00C0691B"/>
    <w:rsid w:val="00C07241"/>
    <w:rsid w:val="00C07ED5"/>
    <w:rsid w:val="00C10FC5"/>
    <w:rsid w:val="00C112C8"/>
    <w:rsid w:val="00C11315"/>
    <w:rsid w:val="00C11DE6"/>
    <w:rsid w:val="00C12B51"/>
    <w:rsid w:val="00C14AA3"/>
    <w:rsid w:val="00C14DE9"/>
    <w:rsid w:val="00C17172"/>
    <w:rsid w:val="00C2112E"/>
    <w:rsid w:val="00C22783"/>
    <w:rsid w:val="00C24650"/>
    <w:rsid w:val="00C25390"/>
    <w:rsid w:val="00C25465"/>
    <w:rsid w:val="00C27B95"/>
    <w:rsid w:val="00C31806"/>
    <w:rsid w:val="00C3243F"/>
    <w:rsid w:val="00C33079"/>
    <w:rsid w:val="00C33BA6"/>
    <w:rsid w:val="00C33C00"/>
    <w:rsid w:val="00C34775"/>
    <w:rsid w:val="00C34BC9"/>
    <w:rsid w:val="00C375EB"/>
    <w:rsid w:val="00C408EA"/>
    <w:rsid w:val="00C439C4"/>
    <w:rsid w:val="00C440AF"/>
    <w:rsid w:val="00C4501E"/>
    <w:rsid w:val="00C47EC6"/>
    <w:rsid w:val="00C511A3"/>
    <w:rsid w:val="00C52D44"/>
    <w:rsid w:val="00C536FD"/>
    <w:rsid w:val="00C53C17"/>
    <w:rsid w:val="00C54CB7"/>
    <w:rsid w:val="00C55A12"/>
    <w:rsid w:val="00C56171"/>
    <w:rsid w:val="00C563F6"/>
    <w:rsid w:val="00C61D55"/>
    <w:rsid w:val="00C6520E"/>
    <w:rsid w:val="00C652F6"/>
    <w:rsid w:val="00C654D1"/>
    <w:rsid w:val="00C6553E"/>
    <w:rsid w:val="00C678DE"/>
    <w:rsid w:val="00C67AB1"/>
    <w:rsid w:val="00C70784"/>
    <w:rsid w:val="00C72EE1"/>
    <w:rsid w:val="00C72F48"/>
    <w:rsid w:val="00C73181"/>
    <w:rsid w:val="00C77318"/>
    <w:rsid w:val="00C7799A"/>
    <w:rsid w:val="00C80773"/>
    <w:rsid w:val="00C83222"/>
    <w:rsid w:val="00C83A13"/>
    <w:rsid w:val="00C85FF7"/>
    <w:rsid w:val="00C86F10"/>
    <w:rsid w:val="00C9068C"/>
    <w:rsid w:val="00C91F1B"/>
    <w:rsid w:val="00C92967"/>
    <w:rsid w:val="00CA068D"/>
    <w:rsid w:val="00CA2161"/>
    <w:rsid w:val="00CA3D0C"/>
    <w:rsid w:val="00CA3D0E"/>
    <w:rsid w:val="00CA44DC"/>
    <w:rsid w:val="00CA5049"/>
    <w:rsid w:val="00CA620A"/>
    <w:rsid w:val="00CA654B"/>
    <w:rsid w:val="00CA6588"/>
    <w:rsid w:val="00CA6767"/>
    <w:rsid w:val="00CB183F"/>
    <w:rsid w:val="00CB2092"/>
    <w:rsid w:val="00CB3D62"/>
    <w:rsid w:val="00CB72B8"/>
    <w:rsid w:val="00CB75BE"/>
    <w:rsid w:val="00CC6274"/>
    <w:rsid w:val="00CD0BA8"/>
    <w:rsid w:val="00CD1253"/>
    <w:rsid w:val="00CD1F63"/>
    <w:rsid w:val="00CD2189"/>
    <w:rsid w:val="00CD322E"/>
    <w:rsid w:val="00CD3320"/>
    <w:rsid w:val="00CD4C7B"/>
    <w:rsid w:val="00CD4E9F"/>
    <w:rsid w:val="00CD5530"/>
    <w:rsid w:val="00CD58FE"/>
    <w:rsid w:val="00CD6181"/>
    <w:rsid w:val="00CE0515"/>
    <w:rsid w:val="00CE23DB"/>
    <w:rsid w:val="00CE37DD"/>
    <w:rsid w:val="00CE4E2A"/>
    <w:rsid w:val="00CE5CAE"/>
    <w:rsid w:val="00CE763E"/>
    <w:rsid w:val="00CF31D3"/>
    <w:rsid w:val="00CF546E"/>
    <w:rsid w:val="00D05CD4"/>
    <w:rsid w:val="00D0668B"/>
    <w:rsid w:val="00D06C59"/>
    <w:rsid w:val="00D100A7"/>
    <w:rsid w:val="00D13831"/>
    <w:rsid w:val="00D143E7"/>
    <w:rsid w:val="00D17214"/>
    <w:rsid w:val="00D203CA"/>
    <w:rsid w:val="00D20E2A"/>
    <w:rsid w:val="00D21009"/>
    <w:rsid w:val="00D21733"/>
    <w:rsid w:val="00D2256C"/>
    <w:rsid w:val="00D2271E"/>
    <w:rsid w:val="00D22729"/>
    <w:rsid w:val="00D267E6"/>
    <w:rsid w:val="00D26A33"/>
    <w:rsid w:val="00D303B1"/>
    <w:rsid w:val="00D30444"/>
    <w:rsid w:val="00D3072A"/>
    <w:rsid w:val="00D33BE3"/>
    <w:rsid w:val="00D3792D"/>
    <w:rsid w:val="00D41DD2"/>
    <w:rsid w:val="00D42025"/>
    <w:rsid w:val="00D424BC"/>
    <w:rsid w:val="00D458E1"/>
    <w:rsid w:val="00D45DD8"/>
    <w:rsid w:val="00D47EA9"/>
    <w:rsid w:val="00D50D0B"/>
    <w:rsid w:val="00D51E1F"/>
    <w:rsid w:val="00D54820"/>
    <w:rsid w:val="00D55E47"/>
    <w:rsid w:val="00D56E19"/>
    <w:rsid w:val="00D5710A"/>
    <w:rsid w:val="00D61AA4"/>
    <w:rsid w:val="00D61E1F"/>
    <w:rsid w:val="00D62E19"/>
    <w:rsid w:val="00D64BC4"/>
    <w:rsid w:val="00D6524B"/>
    <w:rsid w:val="00D65285"/>
    <w:rsid w:val="00D6666F"/>
    <w:rsid w:val="00D67AFF"/>
    <w:rsid w:val="00D67CD1"/>
    <w:rsid w:val="00D67D75"/>
    <w:rsid w:val="00D71026"/>
    <w:rsid w:val="00D71F73"/>
    <w:rsid w:val="00D73109"/>
    <w:rsid w:val="00D738D6"/>
    <w:rsid w:val="00D77D09"/>
    <w:rsid w:val="00D80795"/>
    <w:rsid w:val="00D842C2"/>
    <w:rsid w:val="00D854BE"/>
    <w:rsid w:val="00D85531"/>
    <w:rsid w:val="00D85889"/>
    <w:rsid w:val="00D86212"/>
    <w:rsid w:val="00D86CE0"/>
    <w:rsid w:val="00D86DFA"/>
    <w:rsid w:val="00D86E3E"/>
    <w:rsid w:val="00D872DB"/>
    <w:rsid w:val="00D87E00"/>
    <w:rsid w:val="00D9134D"/>
    <w:rsid w:val="00D962A2"/>
    <w:rsid w:val="00D96D11"/>
    <w:rsid w:val="00D96E80"/>
    <w:rsid w:val="00DA1415"/>
    <w:rsid w:val="00DA21C5"/>
    <w:rsid w:val="00DA276E"/>
    <w:rsid w:val="00DA30B6"/>
    <w:rsid w:val="00DA3783"/>
    <w:rsid w:val="00DA4E37"/>
    <w:rsid w:val="00DA7A03"/>
    <w:rsid w:val="00DB0DB8"/>
    <w:rsid w:val="00DB1818"/>
    <w:rsid w:val="00DB2F82"/>
    <w:rsid w:val="00DB3959"/>
    <w:rsid w:val="00DB4E6D"/>
    <w:rsid w:val="00DB5872"/>
    <w:rsid w:val="00DB60B6"/>
    <w:rsid w:val="00DB6136"/>
    <w:rsid w:val="00DB7015"/>
    <w:rsid w:val="00DC13A9"/>
    <w:rsid w:val="00DC1F00"/>
    <w:rsid w:val="00DC309B"/>
    <w:rsid w:val="00DC36ED"/>
    <w:rsid w:val="00DC4DA2"/>
    <w:rsid w:val="00DC5261"/>
    <w:rsid w:val="00DC6B7F"/>
    <w:rsid w:val="00DC72D5"/>
    <w:rsid w:val="00DC7527"/>
    <w:rsid w:val="00DC757E"/>
    <w:rsid w:val="00DC7DD5"/>
    <w:rsid w:val="00DD0C69"/>
    <w:rsid w:val="00DD1890"/>
    <w:rsid w:val="00DD2762"/>
    <w:rsid w:val="00DD38F6"/>
    <w:rsid w:val="00DD53F5"/>
    <w:rsid w:val="00DD6D59"/>
    <w:rsid w:val="00DD700E"/>
    <w:rsid w:val="00DD724C"/>
    <w:rsid w:val="00DE07B0"/>
    <w:rsid w:val="00DE25D2"/>
    <w:rsid w:val="00DE318F"/>
    <w:rsid w:val="00DE3FF2"/>
    <w:rsid w:val="00DE3FFD"/>
    <w:rsid w:val="00DE4336"/>
    <w:rsid w:val="00DE582F"/>
    <w:rsid w:val="00DE5EF3"/>
    <w:rsid w:val="00DF3A66"/>
    <w:rsid w:val="00DF7C20"/>
    <w:rsid w:val="00E038FB"/>
    <w:rsid w:val="00E0519F"/>
    <w:rsid w:val="00E05C0E"/>
    <w:rsid w:val="00E06408"/>
    <w:rsid w:val="00E06A56"/>
    <w:rsid w:val="00E06CAD"/>
    <w:rsid w:val="00E06D32"/>
    <w:rsid w:val="00E11C93"/>
    <w:rsid w:val="00E12299"/>
    <w:rsid w:val="00E14A24"/>
    <w:rsid w:val="00E1525D"/>
    <w:rsid w:val="00E173BA"/>
    <w:rsid w:val="00E227A2"/>
    <w:rsid w:val="00E23CE6"/>
    <w:rsid w:val="00E25545"/>
    <w:rsid w:val="00E261CF"/>
    <w:rsid w:val="00E31AA4"/>
    <w:rsid w:val="00E32207"/>
    <w:rsid w:val="00E36746"/>
    <w:rsid w:val="00E404C8"/>
    <w:rsid w:val="00E40742"/>
    <w:rsid w:val="00E4142A"/>
    <w:rsid w:val="00E42A2B"/>
    <w:rsid w:val="00E46C08"/>
    <w:rsid w:val="00E471CF"/>
    <w:rsid w:val="00E52B99"/>
    <w:rsid w:val="00E53B66"/>
    <w:rsid w:val="00E54C98"/>
    <w:rsid w:val="00E54D49"/>
    <w:rsid w:val="00E55229"/>
    <w:rsid w:val="00E5708A"/>
    <w:rsid w:val="00E61FC8"/>
    <w:rsid w:val="00E62835"/>
    <w:rsid w:val="00E63BFA"/>
    <w:rsid w:val="00E6480E"/>
    <w:rsid w:val="00E65402"/>
    <w:rsid w:val="00E6595F"/>
    <w:rsid w:val="00E73110"/>
    <w:rsid w:val="00E741DC"/>
    <w:rsid w:val="00E750A5"/>
    <w:rsid w:val="00E77645"/>
    <w:rsid w:val="00E815DC"/>
    <w:rsid w:val="00E83697"/>
    <w:rsid w:val="00E83C11"/>
    <w:rsid w:val="00E84DFA"/>
    <w:rsid w:val="00E85008"/>
    <w:rsid w:val="00E859B6"/>
    <w:rsid w:val="00E9026B"/>
    <w:rsid w:val="00E903BC"/>
    <w:rsid w:val="00E905A8"/>
    <w:rsid w:val="00E91768"/>
    <w:rsid w:val="00E92360"/>
    <w:rsid w:val="00E92ABF"/>
    <w:rsid w:val="00E96029"/>
    <w:rsid w:val="00EA0205"/>
    <w:rsid w:val="00EA2492"/>
    <w:rsid w:val="00EA2BDC"/>
    <w:rsid w:val="00EA3566"/>
    <w:rsid w:val="00EA41BC"/>
    <w:rsid w:val="00EA66C9"/>
    <w:rsid w:val="00EA7257"/>
    <w:rsid w:val="00EB1286"/>
    <w:rsid w:val="00EB5D32"/>
    <w:rsid w:val="00EB7A95"/>
    <w:rsid w:val="00EC1696"/>
    <w:rsid w:val="00EC4A25"/>
    <w:rsid w:val="00EC6457"/>
    <w:rsid w:val="00EC69CA"/>
    <w:rsid w:val="00ED1142"/>
    <w:rsid w:val="00ED35FA"/>
    <w:rsid w:val="00ED3F9B"/>
    <w:rsid w:val="00ED4119"/>
    <w:rsid w:val="00ED6E54"/>
    <w:rsid w:val="00ED6F71"/>
    <w:rsid w:val="00EE1A5D"/>
    <w:rsid w:val="00EE2DAC"/>
    <w:rsid w:val="00EE4E8A"/>
    <w:rsid w:val="00EE4F48"/>
    <w:rsid w:val="00EE5E03"/>
    <w:rsid w:val="00EE75F9"/>
    <w:rsid w:val="00EF0CC7"/>
    <w:rsid w:val="00EF4B92"/>
    <w:rsid w:val="00EF5003"/>
    <w:rsid w:val="00EF60F1"/>
    <w:rsid w:val="00EF612C"/>
    <w:rsid w:val="00EF72DC"/>
    <w:rsid w:val="00EF7EEE"/>
    <w:rsid w:val="00F0159C"/>
    <w:rsid w:val="00F02572"/>
    <w:rsid w:val="00F025A2"/>
    <w:rsid w:val="00F036E9"/>
    <w:rsid w:val="00F0469B"/>
    <w:rsid w:val="00F061A1"/>
    <w:rsid w:val="00F06D68"/>
    <w:rsid w:val="00F07388"/>
    <w:rsid w:val="00F11F13"/>
    <w:rsid w:val="00F147F6"/>
    <w:rsid w:val="00F17427"/>
    <w:rsid w:val="00F17678"/>
    <w:rsid w:val="00F17715"/>
    <w:rsid w:val="00F2026E"/>
    <w:rsid w:val="00F22023"/>
    <w:rsid w:val="00F2210A"/>
    <w:rsid w:val="00F23507"/>
    <w:rsid w:val="00F24DBB"/>
    <w:rsid w:val="00F27341"/>
    <w:rsid w:val="00F31372"/>
    <w:rsid w:val="00F32D3C"/>
    <w:rsid w:val="00F3428F"/>
    <w:rsid w:val="00F360EE"/>
    <w:rsid w:val="00F36106"/>
    <w:rsid w:val="00F37176"/>
    <w:rsid w:val="00F37743"/>
    <w:rsid w:val="00F40C2F"/>
    <w:rsid w:val="00F4182F"/>
    <w:rsid w:val="00F42493"/>
    <w:rsid w:val="00F42BD3"/>
    <w:rsid w:val="00F43B0B"/>
    <w:rsid w:val="00F44F11"/>
    <w:rsid w:val="00F45A29"/>
    <w:rsid w:val="00F470EA"/>
    <w:rsid w:val="00F475AF"/>
    <w:rsid w:val="00F5038D"/>
    <w:rsid w:val="00F5197F"/>
    <w:rsid w:val="00F52954"/>
    <w:rsid w:val="00F534D1"/>
    <w:rsid w:val="00F53873"/>
    <w:rsid w:val="00F54A3D"/>
    <w:rsid w:val="00F54CB0"/>
    <w:rsid w:val="00F56437"/>
    <w:rsid w:val="00F574F8"/>
    <w:rsid w:val="00F579CD"/>
    <w:rsid w:val="00F6052D"/>
    <w:rsid w:val="00F60B26"/>
    <w:rsid w:val="00F653B8"/>
    <w:rsid w:val="00F673A4"/>
    <w:rsid w:val="00F710AA"/>
    <w:rsid w:val="00F71B89"/>
    <w:rsid w:val="00F7353C"/>
    <w:rsid w:val="00F759B7"/>
    <w:rsid w:val="00F76F8F"/>
    <w:rsid w:val="00F77367"/>
    <w:rsid w:val="00F82994"/>
    <w:rsid w:val="00F83822"/>
    <w:rsid w:val="00F838B1"/>
    <w:rsid w:val="00F84AA4"/>
    <w:rsid w:val="00F84DC0"/>
    <w:rsid w:val="00F86D5F"/>
    <w:rsid w:val="00F86F0A"/>
    <w:rsid w:val="00F87048"/>
    <w:rsid w:val="00F87257"/>
    <w:rsid w:val="00F90652"/>
    <w:rsid w:val="00F90BC7"/>
    <w:rsid w:val="00F90DD3"/>
    <w:rsid w:val="00F90F3F"/>
    <w:rsid w:val="00F92583"/>
    <w:rsid w:val="00F925A8"/>
    <w:rsid w:val="00F939F0"/>
    <w:rsid w:val="00F941DF"/>
    <w:rsid w:val="00F94556"/>
    <w:rsid w:val="00F966BC"/>
    <w:rsid w:val="00F97C1E"/>
    <w:rsid w:val="00F97E97"/>
    <w:rsid w:val="00FA0454"/>
    <w:rsid w:val="00FA1266"/>
    <w:rsid w:val="00FA1781"/>
    <w:rsid w:val="00FA6124"/>
    <w:rsid w:val="00FA7AA1"/>
    <w:rsid w:val="00FB30FB"/>
    <w:rsid w:val="00FB36FA"/>
    <w:rsid w:val="00FB4A82"/>
    <w:rsid w:val="00FC1192"/>
    <w:rsid w:val="00FC3BBB"/>
    <w:rsid w:val="00FC3C87"/>
    <w:rsid w:val="00FC438E"/>
    <w:rsid w:val="00FC49E9"/>
    <w:rsid w:val="00FC5386"/>
    <w:rsid w:val="00FC53C8"/>
    <w:rsid w:val="00FC5722"/>
    <w:rsid w:val="00FD2307"/>
    <w:rsid w:val="00FD6DEE"/>
    <w:rsid w:val="00FD7837"/>
    <w:rsid w:val="00FE0E65"/>
    <w:rsid w:val="00FE106D"/>
    <w:rsid w:val="00FE251B"/>
    <w:rsid w:val="00FE2873"/>
    <w:rsid w:val="00FE2B00"/>
    <w:rsid w:val="00FE50B7"/>
    <w:rsid w:val="00FE56EE"/>
    <w:rsid w:val="00FE57E0"/>
    <w:rsid w:val="00FF2917"/>
    <w:rsid w:val="00FF7433"/>
    <w:rsid w:val="00FF76F9"/>
    <w:rsid w:val="0731727E"/>
    <w:rsid w:val="0B660FF2"/>
    <w:rsid w:val="0BA9EB95"/>
    <w:rsid w:val="2B3E1880"/>
    <w:rsid w:val="5F64A928"/>
    <w:rsid w:val="5FD51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0485185-2468-4D2D-8E1A-3331BE77C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59"/>
    <w:rsid w:val="006F3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74FE7"/>
    <w:rPr>
      <w:lang w:eastAsia="en-US"/>
    </w:rPr>
  </w:style>
  <w:style w:type="character" w:styleId="Mention">
    <w:name w:val="Mention"/>
    <w:basedOn w:val="DefaultParagraphFont"/>
    <w:uiPriority w:val="99"/>
    <w:unhideWhenUsed/>
    <w:rsid w:val="0093478C"/>
    <w:rPr>
      <w:color w:val="2B579A"/>
      <w:shd w:val="clear" w:color="auto" w:fill="E1DFDD"/>
    </w:rPr>
  </w:style>
  <w:style w:type="character" w:customStyle="1" w:styleId="B1Char">
    <w:name w:val="B1 Char"/>
    <w:link w:val="B1"/>
    <w:qFormat/>
    <w:rsid w:val="00BD2188"/>
    <w:rPr>
      <w:lang w:eastAsia="en-US"/>
    </w:rPr>
  </w:style>
  <w:style w:type="character" w:customStyle="1" w:styleId="B2Char">
    <w:name w:val="B2 Char"/>
    <w:link w:val="B2"/>
    <w:qFormat/>
    <w:rsid w:val="00BD2188"/>
    <w:rPr>
      <w:lang w:eastAsia="en-US"/>
    </w:rPr>
  </w:style>
  <w:style w:type="character" w:customStyle="1" w:styleId="THChar">
    <w:name w:val="TH Char"/>
    <w:link w:val="TH"/>
    <w:qFormat/>
    <w:rsid w:val="004B5602"/>
    <w:rPr>
      <w:rFonts w:ascii="Arial" w:hAnsi="Arial"/>
      <w:b/>
      <w:lang w:eastAsia="en-US"/>
    </w:rPr>
  </w:style>
  <w:style w:type="character" w:customStyle="1" w:styleId="PLChar">
    <w:name w:val="PL Char"/>
    <w:link w:val="PL"/>
    <w:qFormat/>
    <w:rsid w:val="004B5602"/>
    <w:rPr>
      <w:rFonts w:ascii="Courier New" w:hAnsi="Courier New"/>
      <w:noProof/>
      <w:sz w:val="16"/>
      <w:lang w:eastAsia="en-US"/>
    </w:rPr>
  </w:style>
  <w:style w:type="character" w:customStyle="1" w:styleId="TALCar">
    <w:name w:val="TAL Car"/>
    <w:link w:val="TAL"/>
    <w:qFormat/>
    <w:rsid w:val="004B5602"/>
    <w:rPr>
      <w:rFonts w:ascii="Arial" w:hAnsi="Arial"/>
      <w:sz w:val="18"/>
      <w:lang w:eastAsia="en-US"/>
    </w:rPr>
  </w:style>
  <w:style w:type="character" w:customStyle="1" w:styleId="TAHCar">
    <w:name w:val="TAH Car"/>
    <w:link w:val="TAH"/>
    <w:qFormat/>
    <w:locked/>
    <w:rsid w:val="004B5602"/>
    <w:rPr>
      <w:rFonts w:ascii="Arial" w:hAnsi="Arial"/>
      <w:b/>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702D9"/>
    <w:rPr>
      <w:lang w:eastAsia="en-US"/>
    </w:rPr>
  </w:style>
  <w:style w:type="table" w:customStyle="1" w:styleId="TableGrid1">
    <w:name w:val="Table Grid1"/>
    <w:basedOn w:val="TableNormal"/>
    <w:next w:val="TableGrid"/>
    <w:uiPriority w:val="39"/>
    <w:qFormat/>
    <w:rsid w:val="00C8077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link w:val="1"/>
    <w:uiPriority w:val="34"/>
    <w:qFormat/>
    <w:rsid w:val="00C80773"/>
    <w:pPr>
      <w:spacing w:after="0"/>
      <w:ind w:left="720"/>
      <w:contextualSpacing/>
    </w:pPr>
    <w:rPr>
      <w:rFonts w:eastAsiaTheme="minorEastAsia"/>
      <w:sz w:val="24"/>
      <w:szCs w:val="24"/>
      <w:lang w:val="en-US" w:eastAsia="zh-CN"/>
    </w:rPr>
  </w:style>
  <w:style w:type="character" w:customStyle="1" w:styleId="1">
    <w:name w:val="列表段落 字符1"/>
    <w:link w:val="ListParagraph2"/>
    <w:uiPriority w:val="34"/>
    <w:qFormat/>
    <w:locked/>
    <w:rsid w:val="00C80773"/>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8">
      <w:bodyDiv w:val="1"/>
      <w:marLeft w:val="0"/>
      <w:marRight w:val="0"/>
      <w:marTop w:val="0"/>
      <w:marBottom w:val="0"/>
      <w:divBdr>
        <w:top w:val="none" w:sz="0" w:space="0" w:color="auto"/>
        <w:left w:val="none" w:sz="0" w:space="0" w:color="auto"/>
        <w:bottom w:val="none" w:sz="0" w:space="0" w:color="auto"/>
        <w:right w:val="none" w:sz="0" w:space="0" w:color="auto"/>
      </w:divBdr>
    </w:div>
    <w:div w:id="5863975">
      <w:bodyDiv w:val="1"/>
      <w:marLeft w:val="0"/>
      <w:marRight w:val="0"/>
      <w:marTop w:val="0"/>
      <w:marBottom w:val="0"/>
      <w:divBdr>
        <w:top w:val="none" w:sz="0" w:space="0" w:color="auto"/>
        <w:left w:val="none" w:sz="0" w:space="0" w:color="auto"/>
        <w:bottom w:val="none" w:sz="0" w:space="0" w:color="auto"/>
        <w:right w:val="none" w:sz="0" w:space="0" w:color="auto"/>
      </w:divBdr>
    </w:div>
    <w:div w:id="98567782">
      <w:bodyDiv w:val="1"/>
      <w:marLeft w:val="0"/>
      <w:marRight w:val="0"/>
      <w:marTop w:val="0"/>
      <w:marBottom w:val="0"/>
      <w:divBdr>
        <w:top w:val="none" w:sz="0" w:space="0" w:color="auto"/>
        <w:left w:val="none" w:sz="0" w:space="0" w:color="auto"/>
        <w:bottom w:val="none" w:sz="0" w:space="0" w:color="auto"/>
        <w:right w:val="none" w:sz="0" w:space="0" w:color="auto"/>
      </w:divBdr>
    </w:div>
    <w:div w:id="126431426">
      <w:bodyDiv w:val="1"/>
      <w:marLeft w:val="0"/>
      <w:marRight w:val="0"/>
      <w:marTop w:val="0"/>
      <w:marBottom w:val="0"/>
      <w:divBdr>
        <w:top w:val="none" w:sz="0" w:space="0" w:color="auto"/>
        <w:left w:val="none" w:sz="0" w:space="0" w:color="auto"/>
        <w:bottom w:val="none" w:sz="0" w:space="0" w:color="auto"/>
        <w:right w:val="none" w:sz="0" w:space="0" w:color="auto"/>
      </w:divBdr>
    </w:div>
    <w:div w:id="154492965">
      <w:bodyDiv w:val="1"/>
      <w:marLeft w:val="0"/>
      <w:marRight w:val="0"/>
      <w:marTop w:val="0"/>
      <w:marBottom w:val="0"/>
      <w:divBdr>
        <w:top w:val="none" w:sz="0" w:space="0" w:color="auto"/>
        <w:left w:val="none" w:sz="0" w:space="0" w:color="auto"/>
        <w:bottom w:val="none" w:sz="0" w:space="0" w:color="auto"/>
        <w:right w:val="none" w:sz="0" w:space="0" w:color="auto"/>
      </w:divBdr>
    </w:div>
    <w:div w:id="194002711">
      <w:bodyDiv w:val="1"/>
      <w:marLeft w:val="0"/>
      <w:marRight w:val="0"/>
      <w:marTop w:val="0"/>
      <w:marBottom w:val="0"/>
      <w:divBdr>
        <w:top w:val="none" w:sz="0" w:space="0" w:color="auto"/>
        <w:left w:val="none" w:sz="0" w:space="0" w:color="auto"/>
        <w:bottom w:val="none" w:sz="0" w:space="0" w:color="auto"/>
        <w:right w:val="none" w:sz="0" w:space="0" w:color="auto"/>
      </w:divBdr>
      <w:divsChild>
        <w:div w:id="775638585">
          <w:marLeft w:val="0"/>
          <w:marRight w:val="0"/>
          <w:marTop w:val="0"/>
          <w:marBottom w:val="0"/>
          <w:divBdr>
            <w:top w:val="none" w:sz="0" w:space="0" w:color="auto"/>
            <w:left w:val="none" w:sz="0" w:space="0" w:color="auto"/>
            <w:bottom w:val="none" w:sz="0" w:space="0" w:color="auto"/>
            <w:right w:val="none" w:sz="0" w:space="0" w:color="auto"/>
          </w:divBdr>
        </w:div>
        <w:div w:id="938292979">
          <w:marLeft w:val="0"/>
          <w:marRight w:val="0"/>
          <w:marTop w:val="0"/>
          <w:marBottom w:val="0"/>
          <w:divBdr>
            <w:top w:val="none" w:sz="0" w:space="0" w:color="auto"/>
            <w:left w:val="none" w:sz="0" w:space="0" w:color="auto"/>
            <w:bottom w:val="none" w:sz="0" w:space="0" w:color="auto"/>
            <w:right w:val="none" w:sz="0" w:space="0" w:color="auto"/>
          </w:divBdr>
        </w:div>
      </w:divsChild>
    </w:div>
    <w:div w:id="296882769">
      <w:bodyDiv w:val="1"/>
      <w:marLeft w:val="0"/>
      <w:marRight w:val="0"/>
      <w:marTop w:val="0"/>
      <w:marBottom w:val="0"/>
      <w:divBdr>
        <w:top w:val="none" w:sz="0" w:space="0" w:color="auto"/>
        <w:left w:val="none" w:sz="0" w:space="0" w:color="auto"/>
        <w:bottom w:val="none" w:sz="0" w:space="0" w:color="auto"/>
        <w:right w:val="none" w:sz="0" w:space="0" w:color="auto"/>
      </w:divBdr>
    </w:div>
    <w:div w:id="347098057">
      <w:bodyDiv w:val="1"/>
      <w:marLeft w:val="0"/>
      <w:marRight w:val="0"/>
      <w:marTop w:val="0"/>
      <w:marBottom w:val="0"/>
      <w:divBdr>
        <w:top w:val="none" w:sz="0" w:space="0" w:color="auto"/>
        <w:left w:val="none" w:sz="0" w:space="0" w:color="auto"/>
        <w:bottom w:val="none" w:sz="0" w:space="0" w:color="auto"/>
        <w:right w:val="none" w:sz="0" w:space="0" w:color="auto"/>
      </w:divBdr>
      <w:divsChild>
        <w:div w:id="359204809">
          <w:marLeft w:val="0"/>
          <w:marRight w:val="0"/>
          <w:marTop w:val="0"/>
          <w:marBottom w:val="0"/>
          <w:divBdr>
            <w:top w:val="none" w:sz="0" w:space="0" w:color="auto"/>
            <w:left w:val="none" w:sz="0" w:space="0" w:color="auto"/>
            <w:bottom w:val="none" w:sz="0" w:space="0" w:color="auto"/>
            <w:right w:val="none" w:sz="0" w:space="0" w:color="auto"/>
          </w:divBdr>
        </w:div>
        <w:div w:id="836383021">
          <w:marLeft w:val="0"/>
          <w:marRight w:val="0"/>
          <w:marTop w:val="0"/>
          <w:marBottom w:val="0"/>
          <w:divBdr>
            <w:top w:val="none" w:sz="0" w:space="0" w:color="auto"/>
            <w:left w:val="none" w:sz="0" w:space="0" w:color="auto"/>
            <w:bottom w:val="none" w:sz="0" w:space="0" w:color="auto"/>
            <w:right w:val="none" w:sz="0" w:space="0" w:color="auto"/>
          </w:divBdr>
        </w:div>
      </w:divsChild>
    </w:div>
    <w:div w:id="434059337">
      <w:bodyDiv w:val="1"/>
      <w:marLeft w:val="0"/>
      <w:marRight w:val="0"/>
      <w:marTop w:val="0"/>
      <w:marBottom w:val="0"/>
      <w:divBdr>
        <w:top w:val="none" w:sz="0" w:space="0" w:color="auto"/>
        <w:left w:val="none" w:sz="0" w:space="0" w:color="auto"/>
        <w:bottom w:val="none" w:sz="0" w:space="0" w:color="auto"/>
        <w:right w:val="none" w:sz="0" w:space="0" w:color="auto"/>
      </w:divBdr>
    </w:div>
    <w:div w:id="435029056">
      <w:bodyDiv w:val="1"/>
      <w:marLeft w:val="0"/>
      <w:marRight w:val="0"/>
      <w:marTop w:val="0"/>
      <w:marBottom w:val="0"/>
      <w:divBdr>
        <w:top w:val="none" w:sz="0" w:space="0" w:color="auto"/>
        <w:left w:val="none" w:sz="0" w:space="0" w:color="auto"/>
        <w:bottom w:val="none" w:sz="0" w:space="0" w:color="auto"/>
        <w:right w:val="none" w:sz="0" w:space="0" w:color="auto"/>
      </w:divBdr>
    </w:div>
    <w:div w:id="467167812">
      <w:bodyDiv w:val="1"/>
      <w:marLeft w:val="0"/>
      <w:marRight w:val="0"/>
      <w:marTop w:val="0"/>
      <w:marBottom w:val="0"/>
      <w:divBdr>
        <w:top w:val="none" w:sz="0" w:space="0" w:color="auto"/>
        <w:left w:val="none" w:sz="0" w:space="0" w:color="auto"/>
        <w:bottom w:val="none" w:sz="0" w:space="0" w:color="auto"/>
        <w:right w:val="none" w:sz="0" w:space="0" w:color="auto"/>
      </w:divBdr>
    </w:div>
    <w:div w:id="501360167">
      <w:bodyDiv w:val="1"/>
      <w:marLeft w:val="0"/>
      <w:marRight w:val="0"/>
      <w:marTop w:val="0"/>
      <w:marBottom w:val="0"/>
      <w:divBdr>
        <w:top w:val="none" w:sz="0" w:space="0" w:color="auto"/>
        <w:left w:val="none" w:sz="0" w:space="0" w:color="auto"/>
        <w:bottom w:val="none" w:sz="0" w:space="0" w:color="auto"/>
        <w:right w:val="none" w:sz="0" w:space="0" w:color="auto"/>
      </w:divBdr>
      <w:divsChild>
        <w:div w:id="250165036">
          <w:marLeft w:val="0"/>
          <w:marRight w:val="0"/>
          <w:marTop w:val="0"/>
          <w:marBottom w:val="0"/>
          <w:divBdr>
            <w:top w:val="none" w:sz="0" w:space="0" w:color="auto"/>
            <w:left w:val="none" w:sz="0" w:space="0" w:color="auto"/>
            <w:bottom w:val="none" w:sz="0" w:space="0" w:color="auto"/>
            <w:right w:val="none" w:sz="0" w:space="0" w:color="auto"/>
          </w:divBdr>
        </w:div>
        <w:div w:id="1332564885">
          <w:marLeft w:val="0"/>
          <w:marRight w:val="0"/>
          <w:marTop w:val="0"/>
          <w:marBottom w:val="0"/>
          <w:divBdr>
            <w:top w:val="none" w:sz="0" w:space="0" w:color="auto"/>
            <w:left w:val="none" w:sz="0" w:space="0" w:color="auto"/>
            <w:bottom w:val="none" w:sz="0" w:space="0" w:color="auto"/>
            <w:right w:val="none" w:sz="0" w:space="0" w:color="auto"/>
          </w:divBdr>
        </w:div>
      </w:divsChild>
    </w:div>
    <w:div w:id="513299263">
      <w:bodyDiv w:val="1"/>
      <w:marLeft w:val="0"/>
      <w:marRight w:val="0"/>
      <w:marTop w:val="0"/>
      <w:marBottom w:val="0"/>
      <w:divBdr>
        <w:top w:val="none" w:sz="0" w:space="0" w:color="auto"/>
        <w:left w:val="none" w:sz="0" w:space="0" w:color="auto"/>
        <w:bottom w:val="none" w:sz="0" w:space="0" w:color="auto"/>
        <w:right w:val="none" w:sz="0" w:space="0" w:color="auto"/>
      </w:divBdr>
    </w:div>
    <w:div w:id="689795491">
      <w:bodyDiv w:val="1"/>
      <w:marLeft w:val="0"/>
      <w:marRight w:val="0"/>
      <w:marTop w:val="0"/>
      <w:marBottom w:val="0"/>
      <w:divBdr>
        <w:top w:val="none" w:sz="0" w:space="0" w:color="auto"/>
        <w:left w:val="none" w:sz="0" w:space="0" w:color="auto"/>
        <w:bottom w:val="none" w:sz="0" w:space="0" w:color="auto"/>
        <w:right w:val="none" w:sz="0" w:space="0" w:color="auto"/>
      </w:divBdr>
    </w:div>
    <w:div w:id="718699535">
      <w:bodyDiv w:val="1"/>
      <w:marLeft w:val="0"/>
      <w:marRight w:val="0"/>
      <w:marTop w:val="0"/>
      <w:marBottom w:val="0"/>
      <w:divBdr>
        <w:top w:val="none" w:sz="0" w:space="0" w:color="auto"/>
        <w:left w:val="none" w:sz="0" w:space="0" w:color="auto"/>
        <w:bottom w:val="none" w:sz="0" w:space="0" w:color="auto"/>
        <w:right w:val="none" w:sz="0" w:space="0" w:color="auto"/>
      </w:divBdr>
    </w:div>
    <w:div w:id="744692087">
      <w:bodyDiv w:val="1"/>
      <w:marLeft w:val="0"/>
      <w:marRight w:val="0"/>
      <w:marTop w:val="0"/>
      <w:marBottom w:val="0"/>
      <w:divBdr>
        <w:top w:val="none" w:sz="0" w:space="0" w:color="auto"/>
        <w:left w:val="none" w:sz="0" w:space="0" w:color="auto"/>
        <w:bottom w:val="none" w:sz="0" w:space="0" w:color="auto"/>
        <w:right w:val="none" w:sz="0" w:space="0" w:color="auto"/>
      </w:divBdr>
      <w:divsChild>
        <w:div w:id="193156294">
          <w:marLeft w:val="187"/>
          <w:marRight w:val="0"/>
          <w:marTop w:val="0"/>
          <w:marBottom w:val="0"/>
          <w:divBdr>
            <w:top w:val="none" w:sz="0" w:space="0" w:color="auto"/>
            <w:left w:val="none" w:sz="0" w:space="0" w:color="auto"/>
            <w:bottom w:val="none" w:sz="0" w:space="0" w:color="auto"/>
            <w:right w:val="none" w:sz="0" w:space="0" w:color="auto"/>
          </w:divBdr>
        </w:div>
        <w:div w:id="902837701">
          <w:marLeft w:val="547"/>
          <w:marRight w:val="0"/>
          <w:marTop w:val="0"/>
          <w:marBottom w:val="0"/>
          <w:divBdr>
            <w:top w:val="none" w:sz="0" w:space="0" w:color="auto"/>
            <w:left w:val="none" w:sz="0" w:space="0" w:color="auto"/>
            <w:bottom w:val="none" w:sz="0" w:space="0" w:color="auto"/>
            <w:right w:val="none" w:sz="0" w:space="0" w:color="auto"/>
          </w:divBdr>
        </w:div>
        <w:div w:id="1031421600">
          <w:marLeft w:val="922"/>
          <w:marRight w:val="0"/>
          <w:marTop w:val="0"/>
          <w:marBottom w:val="0"/>
          <w:divBdr>
            <w:top w:val="none" w:sz="0" w:space="0" w:color="auto"/>
            <w:left w:val="none" w:sz="0" w:space="0" w:color="auto"/>
            <w:bottom w:val="none" w:sz="0" w:space="0" w:color="auto"/>
            <w:right w:val="none" w:sz="0" w:space="0" w:color="auto"/>
          </w:divBdr>
        </w:div>
        <w:div w:id="1217862127">
          <w:marLeft w:val="547"/>
          <w:marRight w:val="0"/>
          <w:marTop w:val="0"/>
          <w:marBottom w:val="0"/>
          <w:divBdr>
            <w:top w:val="none" w:sz="0" w:space="0" w:color="auto"/>
            <w:left w:val="none" w:sz="0" w:space="0" w:color="auto"/>
            <w:bottom w:val="none" w:sz="0" w:space="0" w:color="auto"/>
            <w:right w:val="none" w:sz="0" w:space="0" w:color="auto"/>
          </w:divBdr>
        </w:div>
      </w:divsChild>
    </w:div>
    <w:div w:id="834149223">
      <w:bodyDiv w:val="1"/>
      <w:marLeft w:val="0"/>
      <w:marRight w:val="0"/>
      <w:marTop w:val="0"/>
      <w:marBottom w:val="0"/>
      <w:divBdr>
        <w:top w:val="none" w:sz="0" w:space="0" w:color="auto"/>
        <w:left w:val="none" w:sz="0" w:space="0" w:color="auto"/>
        <w:bottom w:val="none" w:sz="0" w:space="0" w:color="auto"/>
        <w:right w:val="none" w:sz="0" w:space="0" w:color="auto"/>
      </w:divBdr>
    </w:div>
    <w:div w:id="880560288">
      <w:bodyDiv w:val="1"/>
      <w:marLeft w:val="0"/>
      <w:marRight w:val="0"/>
      <w:marTop w:val="0"/>
      <w:marBottom w:val="0"/>
      <w:divBdr>
        <w:top w:val="none" w:sz="0" w:space="0" w:color="auto"/>
        <w:left w:val="none" w:sz="0" w:space="0" w:color="auto"/>
        <w:bottom w:val="none" w:sz="0" w:space="0" w:color="auto"/>
        <w:right w:val="none" w:sz="0" w:space="0" w:color="auto"/>
      </w:divBdr>
    </w:div>
    <w:div w:id="8932783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580486">
      <w:bodyDiv w:val="1"/>
      <w:marLeft w:val="0"/>
      <w:marRight w:val="0"/>
      <w:marTop w:val="0"/>
      <w:marBottom w:val="0"/>
      <w:divBdr>
        <w:top w:val="none" w:sz="0" w:space="0" w:color="auto"/>
        <w:left w:val="none" w:sz="0" w:space="0" w:color="auto"/>
        <w:bottom w:val="none" w:sz="0" w:space="0" w:color="auto"/>
        <w:right w:val="none" w:sz="0" w:space="0" w:color="auto"/>
      </w:divBdr>
    </w:div>
    <w:div w:id="959460179">
      <w:bodyDiv w:val="1"/>
      <w:marLeft w:val="0"/>
      <w:marRight w:val="0"/>
      <w:marTop w:val="0"/>
      <w:marBottom w:val="0"/>
      <w:divBdr>
        <w:top w:val="none" w:sz="0" w:space="0" w:color="auto"/>
        <w:left w:val="none" w:sz="0" w:space="0" w:color="auto"/>
        <w:bottom w:val="none" w:sz="0" w:space="0" w:color="auto"/>
        <w:right w:val="none" w:sz="0" w:space="0" w:color="auto"/>
      </w:divBdr>
    </w:div>
    <w:div w:id="981927496">
      <w:bodyDiv w:val="1"/>
      <w:marLeft w:val="0"/>
      <w:marRight w:val="0"/>
      <w:marTop w:val="0"/>
      <w:marBottom w:val="0"/>
      <w:divBdr>
        <w:top w:val="none" w:sz="0" w:space="0" w:color="auto"/>
        <w:left w:val="none" w:sz="0" w:space="0" w:color="auto"/>
        <w:bottom w:val="none" w:sz="0" w:space="0" w:color="auto"/>
        <w:right w:val="none" w:sz="0" w:space="0" w:color="auto"/>
      </w:divBdr>
      <w:divsChild>
        <w:div w:id="825634137">
          <w:marLeft w:val="187"/>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9354605">
      <w:bodyDiv w:val="1"/>
      <w:marLeft w:val="0"/>
      <w:marRight w:val="0"/>
      <w:marTop w:val="0"/>
      <w:marBottom w:val="0"/>
      <w:divBdr>
        <w:top w:val="none" w:sz="0" w:space="0" w:color="auto"/>
        <w:left w:val="none" w:sz="0" w:space="0" w:color="auto"/>
        <w:bottom w:val="none" w:sz="0" w:space="0" w:color="auto"/>
        <w:right w:val="none" w:sz="0" w:space="0" w:color="auto"/>
      </w:divBdr>
    </w:div>
    <w:div w:id="1047993218">
      <w:bodyDiv w:val="1"/>
      <w:marLeft w:val="0"/>
      <w:marRight w:val="0"/>
      <w:marTop w:val="0"/>
      <w:marBottom w:val="0"/>
      <w:divBdr>
        <w:top w:val="none" w:sz="0" w:space="0" w:color="auto"/>
        <w:left w:val="none" w:sz="0" w:space="0" w:color="auto"/>
        <w:bottom w:val="none" w:sz="0" w:space="0" w:color="auto"/>
        <w:right w:val="none" w:sz="0" w:space="0" w:color="auto"/>
      </w:divBdr>
    </w:div>
    <w:div w:id="1066101461">
      <w:bodyDiv w:val="1"/>
      <w:marLeft w:val="0"/>
      <w:marRight w:val="0"/>
      <w:marTop w:val="0"/>
      <w:marBottom w:val="0"/>
      <w:divBdr>
        <w:top w:val="none" w:sz="0" w:space="0" w:color="auto"/>
        <w:left w:val="none" w:sz="0" w:space="0" w:color="auto"/>
        <w:bottom w:val="none" w:sz="0" w:space="0" w:color="auto"/>
        <w:right w:val="none" w:sz="0" w:space="0" w:color="auto"/>
      </w:divBdr>
    </w:div>
    <w:div w:id="1139684597">
      <w:bodyDiv w:val="1"/>
      <w:marLeft w:val="0"/>
      <w:marRight w:val="0"/>
      <w:marTop w:val="0"/>
      <w:marBottom w:val="0"/>
      <w:divBdr>
        <w:top w:val="none" w:sz="0" w:space="0" w:color="auto"/>
        <w:left w:val="none" w:sz="0" w:space="0" w:color="auto"/>
        <w:bottom w:val="none" w:sz="0" w:space="0" w:color="auto"/>
        <w:right w:val="none" w:sz="0" w:space="0" w:color="auto"/>
      </w:divBdr>
    </w:div>
    <w:div w:id="1186285796">
      <w:bodyDiv w:val="1"/>
      <w:marLeft w:val="0"/>
      <w:marRight w:val="0"/>
      <w:marTop w:val="0"/>
      <w:marBottom w:val="0"/>
      <w:divBdr>
        <w:top w:val="none" w:sz="0" w:space="0" w:color="auto"/>
        <w:left w:val="none" w:sz="0" w:space="0" w:color="auto"/>
        <w:bottom w:val="none" w:sz="0" w:space="0" w:color="auto"/>
        <w:right w:val="none" w:sz="0" w:space="0" w:color="auto"/>
      </w:divBdr>
      <w:divsChild>
        <w:div w:id="492647356">
          <w:marLeft w:val="547"/>
          <w:marRight w:val="0"/>
          <w:marTop w:val="0"/>
          <w:marBottom w:val="0"/>
          <w:divBdr>
            <w:top w:val="none" w:sz="0" w:space="0" w:color="auto"/>
            <w:left w:val="none" w:sz="0" w:space="0" w:color="auto"/>
            <w:bottom w:val="none" w:sz="0" w:space="0" w:color="auto"/>
            <w:right w:val="none" w:sz="0" w:space="0" w:color="auto"/>
          </w:divBdr>
        </w:div>
        <w:div w:id="804081563">
          <w:marLeft w:val="547"/>
          <w:marRight w:val="0"/>
          <w:marTop w:val="0"/>
          <w:marBottom w:val="0"/>
          <w:divBdr>
            <w:top w:val="none" w:sz="0" w:space="0" w:color="auto"/>
            <w:left w:val="none" w:sz="0" w:space="0" w:color="auto"/>
            <w:bottom w:val="none" w:sz="0" w:space="0" w:color="auto"/>
            <w:right w:val="none" w:sz="0" w:space="0" w:color="auto"/>
          </w:divBdr>
        </w:div>
        <w:div w:id="1726222002">
          <w:marLeft w:val="547"/>
          <w:marRight w:val="0"/>
          <w:marTop w:val="0"/>
          <w:marBottom w:val="0"/>
          <w:divBdr>
            <w:top w:val="none" w:sz="0" w:space="0" w:color="auto"/>
            <w:left w:val="none" w:sz="0" w:space="0" w:color="auto"/>
            <w:bottom w:val="none" w:sz="0" w:space="0" w:color="auto"/>
            <w:right w:val="none" w:sz="0" w:space="0" w:color="auto"/>
          </w:divBdr>
        </w:div>
        <w:div w:id="2074353682">
          <w:marLeft w:val="547"/>
          <w:marRight w:val="0"/>
          <w:marTop w:val="0"/>
          <w:marBottom w:val="0"/>
          <w:divBdr>
            <w:top w:val="none" w:sz="0" w:space="0" w:color="auto"/>
            <w:left w:val="none" w:sz="0" w:space="0" w:color="auto"/>
            <w:bottom w:val="none" w:sz="0" w:space="0" w:color="auto"/>
            <w:right w:val="none" w:sz="0" w:space="0" w:color="auto"/>
          </w:divBdr>
        </w:div>
        <w:div w:id="2075158537">
          <w:marLeft w:val="187"/>
          <w:marRight w:val="0"/>
          <w:marTop w:val="0"/>
          <w:marBottom w:val="0"/>
          <w:divBdr>
            <w:top w:val="none" w:sz="0" w:space="0" w:color="auto"/>
            <w:left w:val="none" w:sz="0" w:space="0" w:color="auto"/>
            <w:bottom w:val="none" w:sz="0" w:space="0" w:color="auto"/>
            <w:right w:val="none" w:sz="0" w:space="0" w:color="auto"/>
          </w:divBdr>
        </w:div>
      </w:divsChild>
    </w:div>
    <w:div w:id="1193111104">
      <w:bodyDiv w:val="1"/>
      <w:marLeft w:val="0"/>
      <w:marRight w:val="0"/>
      <w:marTop w:val="0"/>
      <w:marBottom w:val="0"/>
      <w:divBdr>
        <w:top w:val="none" w:sz="0" w:space="0" w:color="auto"/>
        <w:left w:val="none" w:sz="0" w:space="0" w:color="auto"/>
        <w:bottom w:val="none" w:sz="0" w:space="0" w:color="auto"/>
        <w:right w:val="none" w:sz="0" w:space="0" w:color="auto"/>
      </w:divBdr>
    </w:div>
    <w:div w:id="1217545918">
      <w:bodyDiv w:val="1"/>
      <w:marLeft w:val="0"/>
      <w:marRight w:val="0"/>
      <w:marTop w:val="0"/>
      <w:marBottom w:val="0"/>
      <w:divBdr>
        <w:top w:val="none" w:sz="0" w:space="0" w:color="auto"/>
        <w:left w:val="none" w:sz="0" w:space="0" w:color="auto"/>
        <w:bottom w:val="none" w:sz="0" w:space="0" w:color="auto"/>
        <w:right w:val="none" w:sz="0" w:space="0" w:color="auto"/>
      </w:divBdr>
      <w:divsChild>
        <w:div w:id="713580489">
          <w:marLeft w:val="288"/>
          <w:marRight w:val="0"/>
          <w:marTop w:val="0"/>
          <w:marBottom w:val="120"/>
          <w:divBdr>
            <w:top w:val="none" w:sz="0" w:space="0" w:color="auto"/>
            <w:left w:val="none" w:sz="0" w:space="0" w:color="auto"/>
            <w:bottom w:val="none" w:sz="0" w:space="0" w:color="auto"/>
            <w:right w:val="none" w:sz="0" w:space="0" w:color="auto"/>
          </w:divBdr>
        </w:div>
        <w:div w:id="1929847024">
          <w:marLeft w:val="288"/>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695510">
      <w:bodyDiv w:val="1"/>
      <w:marLeft w:val="0"/>
      <w:marRight w:val="0"/>
      <w:marTop w:val="0"/>
      <w:marBottom w:val="0"/>
      <w:divBdr>
        <w:top w:val="none" w:sz="0" w:space="0" w:color="auto"/>
        <w:left w:val="none" w:sz="0" w:space="0" w:color="auto"/>
        <w:bottom w:val="none" w:sz="0" w:space="0" w:color="auto"/>
        <w:right w:val="none" w:sz="0" w:space="0" w:color="auto"/>
      </w:divBdr>
      <w:divsChild>
        <w:div w:id="1889220283">
          <w:marLeft w:val="187"/>
          <w:marRight w:val="0"/>
          <w:marTop w:val="0"/>
          <w:marBottom w:val="0"/>
          <w:divBdr>
            <w:top w:val="none" w:sz="0" w:space="0" w:color="auto"/>
            <w:left w:val="none" w:sz="0" w:space="0" w:color="auto"/>
            <w:bottom w:val="none" w:sz="0" w:space="0" w:color="auto"/>
            <w:right w:val="none" w:sz="0" w:space="0" w:color="auto"/>
          </w:divBdr>
        </w:div>
        <w:div w:id="2020425030">
          <w:marLeft w:val="547"/>
          <w:marRight w:val="0"/>
          <w:marTop w:val="0"/>
          <w:marBottom w:val="0"/>
          <w:divBdr>
            <w:top w:val="none" w:sz="0" w:space="0" w:color="auto"/>
            <w:left w:val="none" w:sz="0" w:space="0" w:color="auto"/>
            <w:bottom w:val="none" w:sz="0" w:space="0" w:color="auto"/>
            <w:right w:val="none" w:sz="0" w:space="0" w:color="auto"/>
          </w:divBdr>
        </w:div>
      </w:divsChild>
    </w:div>
    <w:div w:id="1394231630">
      <w:bodyDiv w:val="1"/>
      <w:marLeft w:val="0"/>
      <w:marRight w:val="0"/>
      <w:marTop w:val="0"/>
      <w:marBottom w:val="0"/>
      <w:divBdr>
        <w:top w:val="none" w:sz="0" w:space="0" w:color="auto"/>
        <w:left w:val="none" w:sz="0" w:space="0" w:color="auto"/>
        <w:bottom w:val="none" w:sz="0" w:space="0" w:color="auto"/>
        <w:right w:val="none" w:sz="0" w:space="0" w:color="auto"/>
      </w:divBdr>
    </w:div>
    <w:div w:id="1394235860">
      <w:bodyDiv w:val="1"/>
      <w:marLeft w:val="0"/>
      <w:marRight w:val="0"/>
      <w:marTop w:val="0"/>
      <w:marBottom w:val="0"/>
      <w:divBdr>
        <w:top w:val="none" w:sz="0" w:space="0" w:color="auto"/>
        <w:left w:val="none" w:sz="0" w:space="0" w:color="auto"/>
        <w:bottom w:val="none" w:sz="0" w:space="0" w:color="auto"/>
        <w:right w:val="none" w:sz="0" w:space="0" w:color="auto"/>
      </w:divBdr>
    </w:div>
    <w:div w:id="1418941335">
      <w:bodyDiv w:val="1"/>
      <w:marLeft w:val="0"/>
      <w:marRight w:val="0"/>
      <w:marTop w:val="0"/>
      <w:marBottom w:val="0"/>
      <w:divBdr>
        <w:top w:val="none" w:sz="0" w:space="0" w:color="auto"/>
        <w:left w:val="none" w:sz="0" w:space="0" w:color="auto"/>
        <w:bottom w:val="none" w:sz="0" w:space="0" w:color="auto"/>
        <w:right w:val="none" w:sz="0" w:space="0" w:color="auto"/>
      </w:divBdr>
    </w:div>
    <w:div w:id="1423451510">
      <w:bodyDiv w:val="1"/>
      <w:marLeft w:val="0"/>
      <w:marRight w:val="0"/>
      <w:marTop w:val="0"/>
      <w:marBottom w:val="0"/>
      <w:divBdr>
        <w:top w:val="none" w:sz="0" w:space="0" w:color="auto"/>
        <w:left w:val="none" w:sz="0" w:space="0" w:color="auto"/>
        <w:bottom w:val="none" w:sz="0" w:space="0" w:color="auto"/>
        <w:right w:val="none" w:sz="0" w:space="0" w:color="auto"/>
      </w:divBdr>
    </w:div>
    <w:div w:id="1470051778">
      <w:bodyDiv w:val="1"/>
      <w:marLeft w:val="0"/>
      <w:marRight w:val="0"/>
      <w:marTop w:val="0"/>
      <w:marBottom w:val="0"/>
      <w:divBdr>
        <w:top w:val="none" w:sz="0" w:space="0" w:color="auto"/>
        <w:left w:val="none" w:sz="0" w:space="0" w:color="auto"/>
        <w:bottom w:val="none" w:sz="0" w:space="0" w:color="auto"/>
        <w:right w:val="none" w:sz="0" w:space="0" w:color="auto"/>
      </w:divBdr>
    </w:div>
    <w:div w:id="1481727103">
      <w:bodyDiv w:val="1"/>
      <w:marLeft w:val="0"/>
      <w:marRight w:val="0"/>
      <w:marTop w:val="0"/>
      <w:marBottom w:val="0"/>
      <w:divBdr>
        <w:top w:val="none" w:sz="0" w:space="0" w:color="auto"/>
        <w:left w:val="none" w:sz="0" w:space="0" w:color="auto"/>
        <w:bottom w:val="none" w:sz="0" w:space="0" w:color="auto"/>
        <w:right w:val="none" w:sz="0" w:space="0" w:color="auto"/>
      </w:divBdr>
      <w:divsChild>
        <w:div w:id="809178485">
          <w:marLeft w:val="0"/>
          <w:marRight w:val="0"/>
          <w:marTop w:val="0"/>
          <w:marBottom w:val="0"/>
          <w:divBdr>
            <w:top w:val="none" w:sz="0" w:space="0" w:color="auto"/>
            <w:left w:val="none" w:sz="0" w:space="0" w:color="auto"/>
            <w:bottom w:val="none" w:sz="0" w:space="0" w:color="auto"/>
            <w:right w:val="none" w:sz="0" w:space="0" w:color="auto"/>
          </w:divBdr>
        </w:div>
        <w:div w:id="977495286">
          <w:marLeft w:val="0"/>
          <w:marRight w:val="0"/>
          <w:marTop w:val="0"/>
          <w:marBottom w:val="0"/>
          <w:divBdr>
            <w:top w:val="none" w:sz="0" w:space="0" w:color="auto"/>
            <w:left w:val="none" w:sz="0" w:space="0" w:color="auto"/>
            <w:bottom w:val="none" w:sz="0" w:space="0" w:color="auto"/>
            <w:right w:val="none" w:sz="0" w:space="0" w:color="auto"/>
          </w:divBdr>
        </w:div>
      </w:divsChild>
    </w:div>
    <w:div w:id="1524515486">
      <w:bodyDiv w:val="1"/>
      <w:marLeft w:val="0"/>
      <w:marRight w:val="0"/>
      <w:marTop w:val="0"/>
      <w:marBottom w:val="0"/>
      <w:divBdr>
        <w:top w:val="none" w:sz="0" w:space="0" w:color="auto"/>
        <w:left w:val="none" w:sz="0" w:space="0" w:color="auto"/>
        <w:bottom w:val="none" w:sz="0" w:space="0" w:color="auto"/>
        <w:right w:val="none" w:sz="0" w:space="0" w:color="auto"/>
      </w:divBdr>
    </w:div>
    <w:div w:id="1537154179">
      <w:bodyDiv w:val="1"/>
      <w:marLeft w:val="0"/>
      <w:marRight w:val="0"/>
      <w:marTop w:val="0"/>
      <w:marBottom w:val="0"/>
      <w:divBdr>
        <w:top w:val="none" w:sz="0" w:space="0" w:color="auto"/>
        <w:left w:val="none" w:sz="0" w:space="0" w:color="auto"/>
        <w:bottom w:val="none" w:sz="0" w:space="0" w:color="auto"/>
        <w:right w:val="none" w:sz="0" w:space="0" w:color="auto"/>
      </w:divBdr>
      <w:divsChild>
        <w:div w:id="515315866">
          <w:marLeft w:val="0"/>
          <w:marRight w:val="0"/>
          <w:marTop w:val="0"/>
          <w:marBottom w:val="0"/>
          <w:divBdr>
            <w:top w:val="none" w:sz="0" w:space="0" w:color="auto"/>
            <w:left w:val="none" w:sz="0" w:space="0" w:color="auto"/>
            <w:bottom w:val="none" w:sz="0" w:space="0" w:color="auto"/>
            <w:right w:val="none" w:sz="0" w:space="0" w:color="auto"/>
          </w:divBdr>
        </w:div>
        <w:div w:id="1404794679">
          <w:marLeft w:val="0"/>
          <w:marRight w:val="0"/>
          <w:marTop w:val="0"/>
          <w:marBottom w:val="0"/>
          <w:divBdr>
            <w:top w:val="none" w:sz="0" w:space="0" w:color="auto"/>
            <w:left w:val="none" w:sz="0" w:space="0" w:color="auto"/>
            <w:bottom w:val="none" w:sz="0" w:space="0" w:color="auto"/>
            <w:right w:val="none" w:sz="0" w:space="0" w:color="auto"/>
          </w:divBdr>
        </w:div>
      </w:divsChild>
    </w:div>
    <w:div w:id="1544291125">
      <w:bodyDiv w:val="1"/>
      <w:marLeft w:val="0"/>
      <w:marRight w:val="0"/>
      <w:marTop w:val="0"/>
      <w:marBottom w:val="0"/>
      <w:divBdr>
        <w:top w:val="none" w:sz="0" w:space="0" w:color="auto"/>
        <w:left w:val="none" w:sz="0" w:space="0" w:color="auto"/>
        <w:bottom w:val="none" w:sz="0" w:space="0" w:color="auto"/>
        <w:right w:val="none" w:sz="0" w:space="0" w:color="auto"/>
      </w:divBdr>
    </w:div>
    <w:div w:id="1671982343">
      <w:bodyDiv w:val="1"/>
      <w:marLeft w:val="0"/>
      <w:marRight w:val="0"/>
      <w:marTop w:val="0"/>
      <w:marBottom w:val="0"/>
      <w:divBdr>
        <w:top w:val="none" w:sz="0" w:space="0" w:color="auto"/>
        <w:left w:val="none" w:sz="0" w:space="0" w:color="auto"/>
        <w:bottom w:val="none" w:sz="0" w:space="0" w:color="auto"/>
        <w:right w:val="none" w:sz="0" w:space="0" w:color="auto"/>
      </w:divBdr>
    </w:div>
    <w:div w:id="1725711683">
      <w:bodyDiv w:val="1"/>
      <w:marLeft w:val="0"/>
      <w:marRight w:val="0"/>
      <w:marTop w:val="0"/>
      <w:marBottom w:val="0"/>
      <w:divBdr>
        <w:top w:val="none" w:sz="0" w:space="0" w:color="auto"/>
        <w:left w:val="none" w:sz="0" w:space="0" w:color="auto"/>
        <w:bottom w:val="none" w:sz="0" w:space="0" w:color="auto"/>
        <w:right w:val="none" w:sz="0" w:space="0" w:color="auto"/>
      </w:divBdr>
      <w:divsChild>
        <w:div w:id="92943546">
          <w:marLeft w:val="187"/>
          <w:marRight w:val="0"/>
          <w:marTop w:val="0"/>
          <w:marBottom w:val="0"/>
          <w:divBdr>
            <w:top w:val="none" w:sz="0" w:space="0" w:color="auto"/>
            <w:left w:val="none" w:sz="0" w:space="0" w:color="auto"/>
            <w:bottom w:val="none" w:sz="0" w:space="0" w:color="auto"/>
            <w:right w:val="none" w:sz="0" w:space="0" w:color="auto"/>
          </w:divBdr>
        </w:div>
        <w:div w:id="183792514">
          <w:marLeft w:val="547"/>
          <w:marRight w:val="0"/>
          <w:marTop w:val="0"/>
          <w:marBottom w:val="0"/>
          <w:divBdr>
            <w:top w:val="none" w:sz="0" w:space="0" w:color="auto"/>
            <w:left w:val="none" w:sz="0" w:space="0" w:color="auto"/>
            <w:bottom w:val="none" w:sz="0" w:space="0" w:color="auto"/>
            <w:right w:val="none" w:sz="0" w:space="0" w:color="auto"/>
          </w:divBdr>
        </w:div>
      </w:divsChild>
    </w:div>
    <w:div w:id="1735619322">
      <w:bodyDiv w:val="1"/>
      <w:marLeft w:val="0"/>
      <w:marRight w:val="0"/>
      <w:marTop w:val="0"/>
      <w:marBottom w:val="0"/>
      <w:divBdr>
        <w:top w:val="none" w:sz="0" w:space="0" w:color="auto"/>
        <w:left w:val="none" w:sz="0" w:space="0" w:color="auto"/>
        <w:bottom w:val="none" w:sz="0" w:space="0" w:color="auto"/>
        <w:right w:val="none" w:sz="0" w:space="0" w:color="auto"/>
      </w:divBdr>
    </w:div>
    <w:div w:id="1758818867">
      <w:bodyDiv w:val="1"/>
      <w:marLeft w:val="0"/>
      <w:marRight w:val="0"/>
      <w:marTop w:val="0"/>
      <w:marBottom w:val="0"/>
      <w:divBdr>
        <w:top w:val="none" w:sz="0" w:space="0" w:color="auto"/>
        <w:left w:val="none" w:sz="0" w:space="0" w:color="auto"/>
        <w:bottom w:val="none" w:sz="0" w:space="0" w:color="auto"/>
        <w:right w:val="none" w:sz="0" w:space="0" w:color="auto"/>
      </w:divBdr>
    </w:div>
    <w:div w:id="1989362521">
      <w:bodyDiv w:val="1"/>
      <w:marLeft w:val="0"/>
      <w:marRight w:val="0"/>
      <w:marTop w:val="0"/>
      <w:marBottom w:val="0"/>
      <w:divBdr>
        <w:top w:val="none" w:sz="0" w:space="0" w:color="auto"/>
        <w:left w:val="none" w:sz="0" w:space="0" w:color="auto"/>
        <w:bottom w:val="none" w:sz="0" w:space="0" w:color="auto"/>
        <w:right w:val="none" w:sz="0" w:space="0" w:color="auto"/>
      </w:divBdr>
    </w:div>
    <w:div w:id="2128766683">
      <w:bodyDiv w:val="1"/>
      <w:marLeft w:val="0"/>
      <w:marRight w:val="0"/>
      <w:marTop w:val="0"/>
      <w:marBottom w:val="0"/>
      <w:divBdr>
        <w:top w:val="none" w:sz="0" w:space="0" w:color="auto"/>
        <w:left w:val="none" w:sz="0" w:space="0" w:color="auto"/>
        <w:bottom w:val="none" w:sz="0" w:space="0" w:color="auto"/>
        <w:right w:val="none" w:sz="0" w:space="0" w:color="auto"/>
      </w:divBdr>
    </w:div>
    <w:div w:id="2131317052">
      <w:bodyDiv w:val="1"/>
      <w:marLeft w:val="0"/>
      <w:marRight w:val="0"/>
      <w:marTop w:val="0"/>
      <w:marBottom w:val="0"/>
      <w:divBdr>
        <w:top w:val="none" w:sz="0" w:space="0" w:color="auto"/>
        <w:left w:val="none" w:sz="0" w:space="0" w:color="auto"/>
        <w:bottom w:val="none" w:sz="0" w:space="0" w:color="auto"/>
        <w:right w:val="none" w:sz="0" w:space="0" w:color="auto"/>
      </w:divBdr>
    </w:div>
    <w:div w:id="214292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D4A31-7992-44D2-832E-6D1818FA30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11629</CharactersWithSpaces>
  <SharedDoc>false</SharedDoc>
  <HyperlinkBase/>
  <HLinks>
    <vt:vector size="18" baseType="variant">
      <vt:variant>
        <vt:i4>7798857</vt:i4>
      </vt:variant>
      <vt:variant>
        <vt:i4>6</vt:i4>
      </vt:variant>
      <vt:variant>
        <vt:i4>0</vt:i4>
      </vt:variant>
      <vt:variant>
        <vt:i4>5</vt:i4>
      </vt:variant>
      <vt:variant>
        <vt:lpwstr>mailto:ping.1.yuan@nokia-sbell.com</vt:lpwstr>
      </vt:variant>
      <vt:variant>
        <vt:lpwstr/>
      </vt:variant>
      <vt:variant>
        <vt:i4>5242930</vt:i4>
      </vt:variant>
      <vt:variant>
        <vt:i4>3</vt:i4>
      </vt:variant>
      <vt:variant>
        <vt:i4>0</vt:i4>
      </vt:variant>
      <vt:variant>
        <vt:i4>5</vt:i4>
      </vt:variant>
      <vt:variant>
        <vt:lpwstr>mailto:mads.lauridsen@nokia.com</vt:lpwstr>
      </vt:variant>
      <vt:variant>
        <vt:lpwstr/>
      </vt:variant>
      <vt:variant>
        <vt:i4>4325421</vt:i4>
      </vt:variant>
      <vt:variant>
        <vt:i4>0</vt:i4>
      </vt:variant>
      <vt:variant>
        <vt:i4>0</vt:i4>
      </vt:variant>
      <vt:variant>
        <vt:i4>5</vt:i4>
      </vt:variant>
      <vt:variant>
        <vt:lpwstr>C:\Data\3GPP\RAN2\Inbox\R2-2507773.zip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(NSB)</cp:lastModifiedBy>
  <cp:revision>2</cp:revision>
  <dcterms:created xsi:type="dcterms:W3CDTF">2025-11-07T09:42:00Z</dcterms:created>
  <dcterms:modified xsi:type="dcterms:W3CDTF">2025-11-07T09:42:00Z</dcterms:modified>
  <cp:category/>
</cp:coreProperties>
</file>